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shd w:val="clear" w:color="auto" w:fill="FFFFFF"/>
        <w:tblCellMar>
          <w:left w:w="0" w:type="dxa"/>
          <w:right w:w="0" w:type="dxa"/>
        </w:tblCellMar>
        <w:tblLook w:val="04A0" w:firstRow="1" w:lastRow="0" w:firstColumn="1" w:lastColumn="0" w:noHBand="0" w:noVBand="1"/>
      </w:tblPr>
      <w:tblGrid>
        <w:gridCol w:w="2392"/>
        <w:gridCol w:w="6952"/>
      </w:tblGrid>
      <w:tr w:rsidR="00D72C32" w:rsidRPr="00D72C32" w:rsidTr="00D72C32">
        <w:trPr>
          <w:jc w:val="center"/>
        </w:trPr>
        <w:tc>
          <w:tcPr>
            <w:tcW w:w="0" w:type="auto"/>
            <w:gridSpan w:val="2"/>
            <w:tcBorders>
              <w:top w:val="single" w:sz="6" w:space="0" w:color="7F7F7F"/>
              <w:left w:val="single" w:sz="6" w:space="0" w:color="7F7F7F"/>
              <w:bottom w:val="single" w:sz="6" w:space="0" w:color="7F7F7F"/>
              <w:right w:val="single" w:sz="6" w:space="0" w:color="7F7F7F"/>
            </w:tcBorders>
            <w:shd w:val="clear" w:color="auto" w:fill="E7E7FF"/>
            <w:tcMar>
              <w:top w:w="0" w:type="dxa"/>
              <w:left w:w="30" w:type="dxa"/>
              <w:bottom w:w="0" w:type="dxa"/>
              <w:right w:w="0" w:type="dxa"/>
            </w:tcMar>
            <w:hideMark/>
          </w:tcPr>
          <w:p w:rsidR="00D72C32" w:rsidRPr="00D72C32" w:rsidRDefault="00D72C32" w:rsidP="00D72C32">
            <w:pPr>
              <w:spacing w:after="0" w:line="240" w:lineRule="auto"/>
              <w:jc w:val="center"/>
              <w:rPr>
                <w:rFonts w:ascii="Verdana" w:eastAsia="Times New Roman" w:hAnsi="Verdana" w:cs="Times New Roman"/>
                <w:b/>
                <w:bCs/>
                <w:color w:val="0000FF"/>
                <w:sz w:val="21"/>
                <w:szCs w:val="21"/>
              </w:rPr>
            </w:pPr>
            <w:r w:rsidRPr="00D72C32">
              <w:rPr>
                <w:rFonts w:ascii="Verdana" w:eastAsia="Times New Roman" w:hAnsi="Verdana" w:cs="Times New Roman"/>
                <w:b/>
                <w:bCs/>
                <w:color w:val="0000FF"/>
                <w:sz w:val="21"/>
                <w:szCs w:val="21"/>
              </w:rPr>
              <w:t>0. Prerequisites</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bookmarkStart w:id="0" w:name="100000" w:colFirst="0" w:colLast="0"/>
            <w:r w:rsidRPr="00D72C32">
              <w:rPr>
                <w:rFonts w:ascii="Verdana" w:eastAsia="Times New Roman" w:hAnsi="Verdana" w:cs="Times New Roman"/>
                <w:b/>
                <w:bCs/>
                <w:color w:val="0000FF"/>
                <w:sz w:val="15"/>
                <w:szCs w:val="15"/>
              </w:rPr>
              <w:t>0.1 Legal environment</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1" w:name="111000"/>
            <w:r w:rsidRPr="00D72C32">
              <w:rPr>
                <w:rFonts w:ascii="Verdana" w:eastAsia="Times New Roman" w:hAnsi="Verdana" w:cs="Times New Roman"/>
                <w:b/>
                <w:bCs/>
                <w:color w:val="0000FF"/>
                <w:sz w:val="15"/>
                <w:szCs w:val="15"/>
              </w:rPr>
              <w:t>0.1.1 Responsibility for collecting, processing, and disseminating statistics</w:t>
            </w:r>
          </w:p>
          <w:bookmarkEnd w:id="1"/>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AD217F">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 Bank of Namibia collects data on BOP and monetary statistics under section 56 of the Bank of Namibia Act, 1997 which stipulates that "the Bank (BON)</w:t>
            </w:r>
            <w:r w:rsidR="003E177E">
              <w:rPr>
                <w:rFonts w:ascii="Verdana" w:eastAsia="Times New Roman" w:hAnsi="Verdana" w:cs="Times New Roman"/>
                <w:color w:val="000000"/>
                <w:sz w:val="15"/>
                <w:szCs w:val="15"/>
              </w:rPr>
              <w:t xml:space="preserve"> </w:t>
            </w:r>
            <w:r w:rsidRPr="00D72C32">
              <w:rPr>
                <w:rFonts w:ascii="Verdana" w:eastAsia="Times New Roman" w:hAnsi="Verdana" w:cs="Times New Roman"/>
                <w:color w:val="000000"/>
                <w:sz w:val="15"/>
                <w:szCs w:val="15"/>
              </w:rPr>
              <w:t>may in writing direct any person to furnish the Bank periodically or otherwise, and before the date or within the period specified in the direction, with such information as may be available to such person and as the Board may consider necessary for the Bank to perform effectively its functions under this Act; or subject to any other law, to submit to the Bank within the period specified in the direction any register, book or document in the possession or custody or under the control of any such person with contains or is believed to contain any such information."</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2" w:name="11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0.1.2 Data sharing and coordination among data producing agencies</w:t>
            </w:r>
          </w:p>
          <w:bookmarkEnd w:id="2"/>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AD217F">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Data sharing and coordination among data producing agencies discussions are on-going among other data producing agencies, especially the Namibia Statistics Agency (NSA)</w:t>
            </w:r>
            <w:r>
              <w:rPr>
                <w:rFonts w:ascii="Verdana" w:eastAsia="Times New Roman" w:hAnsi="Verdana" w:cs="Times New Roman"/>
                <w:color w:val="000000"/>
                <w:sz w:val="15"/>
                <w:szCs w:val="15"/>
              </w:rPr>
              <w:t xml:space="preserve"> and Ministry of Finance (MOF)</w:t>
            </w:r>
            <w:r w:rsidRPr="00D72C32">
              <w:rPr>
                <w:rFonts w:ascii="Verdana" w:eastAsia="Times New Roman" w:hAnsi="Verdana" w:cs="Times New Roman"/>
                <w:color w:val="000000"/>
                <w:sz w:val="15"/>
                <w:szCs w:val="15"/>
              </w:rPr>
              <w:t xml:space="preserve"> on trade data. </w:t>
            </w:r>
            <w:r>
              <w:rPr>
                <w:rFonts w:ascii="Verdana" w:eastAsia="Times New Roman" w:hAnsi="Verdana" w:cs="Times New Roman"/>
                <w:color w:val="000000"/>
                <w:sz w:val="15"/>
                <w:szCs w:val="15"/>
              </w:rPr>
              <w:t xml:space="preserve">Standing quarterly meeting between the three institution serve as a platform to reconcile any </w:t>
            </w:r>
            <w:r w:rsidRPr="00D72C32">
              <w:rPr>
                <w:rFonts w:ascii="Verdana" w:eastAsia="Times New Roman" w:hAnsi="Verdana" w:cs="Times New Roman"/>
                <w:color w:val="000000"/>
                <w:sz w:val="15"/>
                <w:szCs w:val="15"/>
              </w:rPr>
              <w:t xml:space="preserve">discrepancies found in </w:t>
            </w:r>
            <w:r>
              <w:rPr>
                <w:rFonts w:ascii="Verdana" w:eastAsia="Times New Roman" w:hAnsi="Verdana" w:cs="Times New Roman"/>
                <w:color w:val="000000"/>
                <w:sz w:val="15"/>
                <w:szCs w:val="15"/>
              </w:rPr>
              <w:t xml:space="preserve">data </w:t>
            </w:r>
            <w:r w:rsidRPr="00D72C32">
              <w:rPr>
                <w:rFonts w:ascii="Verdana" w:eastAsia="Times New Roman" w:hAnsi="Verdana" w:cs="Times New Roman"/>
                <w:color w:val="000000"/>
                <w:sz w:val="15"/>
                <w:szCs w:val="15"/>
              </w:rPr>
              <w:t xml:space="preserve">supposed to be the same data published by BON and NSA. </w:t>
            </w:r>
            <w:r>
              <w:rPr>
                <w:rFonts w:ascii="Verdana" w:eastAsia="Times New Roman" w:hAnsi="Verdana" w:cs="Times New Roman"/>
                <w:color w:val="000000"/>
                <w:sz w:val="15"/>
                <w:szCs w:val="15"/>
              </w:rPr>
              <w:t>The</w:t>
            </w:r>
            <w:r w:rsidRPr="00D72C32">
              <w:rPr>
                <w:rFonts w:ascii="Verdana" w:eastAsia="Times New Roman" w:hAnsi="Verdana" w:cs="Times New Roman"/>
                <w:color w:val="000000"/>
                <w:sz w:val="15"/>
                <w:szCs w:val="15"/>
              </w:rPr>
              <w:t xml:space="preserve"> </w:t>
            </w:r>
            <w:r w:rsidR="003E177E" w:rsidRPr="00A22639">
              <w:rPr>
                <w:rFonts w:ascii="Verdana" w:eastAsia="Times New Roman" w:hAnsi="Verdana" w:cs="Times New Roman"/>
                <w:color w:val="000000"/>
                <w:sz w:val="15"/>
                <w:szCs w:val="15"/>
              </w:rPr>
              <w:t>Memorandum of Understanding</w:t>
            </w:r>
            <w:r w:rsidR="003E177E">
              <w:rPr>
                <w:rFonts w:ascii="Verdana" w:eastAsia="Times New Roman" w:hAnsi="Verdana" w:cs="Times New Roman"/>
                <w:color w:val="000000"/>
                <w:sz w:val="15"/>
                <w:szCs w:val="15"/>
              </w:rPr>
              <w:t xml:space="preserve"> (</w:t>
            </w:r>
            <w:r w:rsidRPr="00D72C32">
              <w:rPr>
                <w:rFonts w:ascii="Verdana" w:eastAsia="Times New Roman" w:hAnsi="Verdana" w:cs="Times New Roman"/>
                <w:color w:val="000000"/>
                <w:sz w:val="15"/>
                <w:szCs w:val="15"/>
              </w:rPr>
              <w:t>MOU</w:t>
            </w:r>
            <w:r w:rsidR="003E177E">
              <w:rPr>
                <w:rFonts w:ascii="Verdana" w:eastAsia="Times New Roman" w:hAnsi="Verdana" w:cs="Times New Roman"/>
                <w:color w:val="000000"/>
                <w:sz w:val="15"/>
                <w:szCs w:val="15"/>
              </w:rPr>
              <w:t>)</w:t>
            </w:r>
            <w:r w:rsidRPr="00D72C32">
              <w:rPr>
                <w:rFonts w:ascii="Verdana" w:eastAsia="Times New Roman" w:hAnsi="Verdana" w:cs="Times New Roman"/>
                <w:color w:val="000000"/>
                <w:sz w:val="15"/>
                <w:szCs w:val="15"/>
              </w:rPr>
              <w:t xml:space="preserve"> between these agencies requires regular meetings to review the data shared between t</w:t>
            </w:r>
            <w:r>
              <w:rPr>
                <w:rFonts w:ascii="Verdana" w:eastAsia="Times New Roman" w:hAnsi="Verdana" w:cs="Times New Roman"/>
                <w:color w:val="000000"/>
                <w:sz w:val="15"/>
                <w:szCs w:val="15"/>
              </w:rPr>
              <w:t>he</w:t>
            </w:r>
            <w:r w:rsidRPr="00D72C32">
              <w:rPr>
                <w:rFonts w:ascii="Verdana" w:eastAsia="Times New Roman" w:hAnsi="Verdana" w:cs="Times New Roman"/>
                <w:color w:val="000000"/>
                <w:sz w:val="15"/>
                <w:szCs w:val="15"/>
              </w:rPr>
              <w:t xml:space="preserve"> institutions.</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3" w:name="113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0.1.3 Confidentiality of individual reporters' data</w:t>
            </w:r>
          </w:p>
          <w:bookmarkEnd w:id="3"/>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902DC4">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All persons employed by the Bank are bound to secrecy and required to sign a declaration of secrecy upon entering duty. Under this Act, no person shall directly or indirectly disclose to another person any information that he or she has acquired in the performance of his or her duties or functions, for or on behalf of the Bank, except for the purpose of the performance of his or her duties or functions in terms of this Act or when required to do so by a court of law or under any law or on authority of the Board. Any person who contravenes this, shall be guilty of an offence and liable or conviction to a fine not exceeding N$20 000 or to imprisonment for a period not exceeding five years, or to both such fine and imprisonment. The Act assured respondents that their information will be regarded as strictly confidential and will not be disclosed to anyone outside other divisions of the Bank or outside the Bank. The data will be published in aggregate form only and will not reveal the results of any one respondent.</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4" w:name="114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0.1.4 Ensuring statistical reporting</w:t>
            </w:r>
          </w:p>
          <w:bookmarkEnd w:id="4"/>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Any person who fails to supply any information called for by the Bank or willfully supplies any false or misleading information shall be guilty of an offence and liable on conviction to a fine not exceeding N$20 000 or to imprisonment for a period not exceeding five years, or both such fine and such imprisonment."</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0.2 Resources</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5" w:name="121000"/>
            <w:r w:rsidRPr="00D72C32">
              <w:rPr>
                <w:rFonts w:ascii="Verdana" w:eastAsia="Times New Roman" w:hAnsi="Verdana" w:cs="Times New Roman"/>
                <w:b/>
                <w:bCs/>
                <w:color w:val="0000FF"/>
                <w:sz w:val="15"/>
                <w:szCs w:val="15"/>
              </w:rPr>
              <w:t>0.2.1 Staff, facilities, computing resources, and financing</w:t>
            </w:r>
          </w:p>
          <w:bookmarkEnd w:id="5"/>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902DC4">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There are </w:t>
            </w:r>
            <w:r w:rsidR="00902DC4">
              <w:rPr>
                <w:rFonts w:ascii="Verdana" w:eastAsia="Times New Roman" w:hAnsi="Verdana" w:cs="Times New Roman"/>
                <w:color w:val="000000"/>
                <w:sz w:val="15"/>
                <w:szCs w:val="15"/>
              </w:rPr>
              <w:t>six</w:t>
            </w:r>
            <w:r w:rsidRPr="00D72C32">
              <w:rPr>
                <w:rFonts w:ascii="Verdana" w:eastAsia="Times New Roman" w:hAnsi="Verdana" w:cs="Times New Roman"/>
                <w:color w:val="000000"/>
                <w:sz w:val="15"/>
                <w:szCs w:val="15"/>
              </w:rPr>
              <w:t xml:space="preserve"> staff working on BOP issues. The data are collected mainly through surveys and administrat</w:t>
            </w:r>
            <w:r w:rsidR="00902DC4">
              <w:rPr>
                <w:rFonts w:ascii="Verdana" w:eastAsia="Times New Roman" w:hAnsi="Verdana" w:cs="Times New Roman"/>
                <w:color w:val="000000"/>
                <w:sz w:val="15"/>
                <w:szCs w:val="15"/>
              </w:rPr>
              <w:t>ive</w:t>
            </w:r>
            <w:r w:rsidRPr="00D72C32">
              <w:rPr>
                <w:rFonts w:ascii="Verdana" w:eastAsia="Times New Roman" w:hAnsi="Verdana" w:cs="Times New Roman"/>
                <w:color w:val="000000"/>
                <w:sz w:val="15"/>
                <w:szCs w:val="15"/>
              </w:rPr>
              <w:t xml:space="preserve"> records within the Bank and from entities. The collected data is received through e-mails and through an internally developed system called, Intergraded Electronic Research System (IERS), which is further used for generating reports for compilation in the </w:t>
            </w:r>
            <w:r w:rsidRPr="00D72C32">
              <w:rPr>
                <w:rFonts w:ascii="Verdana" w:eastAsia="Times New Roman" w:hAnsi="Verdana" w:cs="Times New Roman"/>
                <w:color w:val="000000"/>
                <w:sz w:val="15"/>
                <w:szCs w:val="15"/>
              </w:rPr>
              <w:lastRenderedPageBreak/>
              <w:t>main worksheets. However, the data received through the e-mails or through the administrative records are manually entered into the IERS system to generate the reports.</w:t>
            </w:r>
          </w:p>
          <w:p w:rsidR="00D72C32" w:rsidRPr="00D72C32" w:rsidRDefault="00D72C32" w:rsidP="00D72C32">
            <w:pPr>
              <w:spacing w:after="0" w:line="240" w:lineRule="auto"/>
              <w:rPr>
                <w:rFonts w:ascii="Verdana" w:eastAsia="Times New Roman" w:hAnsi="Verdana" w:cs="Times New Roman"/>
                <w:color w:val="000000"/>
                <w:sz w:val="15"/>
                <w:szCs w:val="15"/>
              </w:rPr>
            </w:pPr>
          </w:p>
        </w:tc>
      </w:tr>
      <w:bookmarkEnd w:id="0"/>
      <w:tr w:rsidR="00D72C32" w:rsidRPr="00D72C32" w:rsidTr="00D72C32">
        <w:trPr>
          <w:jc w:val="center"/>
        </w:trPr>
        <w:tc>
          <w:tcPr>
            <w:tcW w:w="0" w:type="auto"/>
            <w:gridSpan w:val="2"/>
            <w:tcBorders>
              <w:top w:val="single" w:sz="6" w:space="0" w:color="7F7F7F"/>
              <w:left w:val="single" w:sz="6" w:space="0" w:color="7F7F7F"/>
              <w:bottom w:val="single" w:sz="6" w:space="0" w:color="7F7F7F"/>
              <w:right w:val="single" w:sz="6" w:space="0" w:color="7F7F7F"/>
            </w:tcBorders>
            <w:shd w:val="clear" w:color="auto" w:fill="E7E7FF"/>
            <w:tcMar>
              <w:top w:w="0" w:type="dxa"/>
              <w:left w:w="30" w:type="dxa"/>
              <w:bottom w:w="0" w:type="dxa"/>
              <w:right w:w="0" w:type="dxa"/>
            </w:tcMar>
            <w:hideMark/>
          </w:tcPr>
          <w:p w:rsidR="00D72C32" w:rsidRPr="00D72C32" w:rsidRDefault="00D72C32" w:rsidP="00D72C32">
            <w:pPr>
              <w:spacing w:after="0" w:line="240" w:lineRule="auto"/>
              <w:jc w:val="center"/>
              <w:rPr>
                <w:rFonts w:ascii="Verdana" w:eastAsia="Times New Roman" w:hAnsi="Verdana" w:cs="Times New Roman"/>
                <w:b/>
                <w:bCs/>
                <w:color w:val="0000FF"/>
                <w:sz w:val="21"/>
                <w:szCs w:val="21"/>
              </w:rPr>
            </w:pPr>
            <w:r w:rsidRPr="00D72C32">
              <w:rPr>
                <w:rFonts w:ascii="Verdana" w:eastAsia="Times New Roman" w:hAnsi="Verdana" w:cs="Times New Roman"/>
                <w:b/>
                <w:bCs/>
                <w:color w:val="0000FF"/>
                <w:sz w:val="21"/>
                <w:szCs w:val="21"/>
              </w:rPr>
              <w:lastRenderedPageBreak/>
              <w:t>1. Integrity</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bookmarkStart w:id="6" w:name="200000" w:colFirst="0" w:colLast="0"/>
            <w:r w:rsidRPr="00D72C32">
              <w:rPr>
                <w:rFonts w:ascii="Verdana" w:eastAsia="Times New Roman" w:hAnsi="Verdana" w:cs="Times New Roman"/>
                <w:b/>
                <w:bCs/>
                <w:color w:val="0000FF"/>
                <w:sz w:val="15"/>
                <w:szCs w:val="15"/>
              </w:rPr>
              <w:t>1.1 Professionalism</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7" w:name="211000"/>
            <w:r w:rsidRPr="00D72C32">
              <w:rPr>
                <w:rFonts w:ascii="Verdana" w:eastAsia="Times New Roman" w:hAnsi="Verdana" w:cs="Times New Roman"/>
                <w:b/>
                <w:bCs/>
                <w:color w:val="0000FF"/>
                <w:sz w:val="15"/>
                <w:szCs w:val="15"/>
              </w:rPr>
              <w:t>1.1.1 Impartiality of statistics</w:t>
            </w:r>
          </w:p>
          <w:bookmarkEnd w:id="7"/>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6B6180">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Data are collected from various sectors of the economy and it is always ensured that each sector is well presented in terms of either number or significance in the produced unit. Data is also obtained from other data collecting agencies as a way of broadening the scope of data collection. The collected data is aggregated and it </w:t>
            </w:r>
            <w:r w:rsidR="006B6180">
              <w:rPr>
                <w:rFonts w:ascii="Verdana" w:eastAsia="Times New Roman" w:hAnsi="Verdana" w:cs="Times New Roman"/>
                <w:color w:val="000000"/>
                <w:sz w:val="15"/>
                <w:szCs w:val="15"/>
              </w:rPr>
              <w:t xml:space="preserve">is </w:t>
            </w:r>
            <w:r w:rsidRPr="00D72C32">
              <w:rPr>
                <w:rFonts w:ascii="Verdana" w:eastAsia="Times New Roman" w:hAnsi="Verdana" w:cs="Times New Roman"/>
                <w:color w:val="000000"/>
                <w:sz w:val="15"/>
                <w:szCs w:val="15"/>
              </w:rPr>
              <w:t>never released as data from only a few entities, but of all.</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8" w:name="21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1.1.2 Selection of sources, methodology, and modes of dissemination</w:t>
            </w:r>
          </w:p>
          <w:bookmarkEnd w:id="8"/>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422D4D">
            <w:pPr>
              <w:spacing w:before="100" w:beforeAutospacing="1" w:after="100" w:afterAutospacing="1" w:line="240" w:lineRule="auto"/>
              <w:jc w:val="both"/>
              <w:rPr>
                <w:rFonts w:ascii="Verdana" w:eastAsia="Times New Roman" w:hAnsi="Verdana" w:cs="Times New Roman"/>
                <w:color w:val="000000"/>
                <w:sz w:val="15"/>
                <w:szCs w:val="15"/>
              </w:rPr>
            </w:pPr>
            <w:r w:rsidRPr="00422D4D">
              <w:rPr>
                <w:rFonts w:ascii="Verdana" w:eastAsia="Times New Roman" w:hAnsi="Verdana" w:cs="Times New Roman"/>
                <w:color w:val="000000"/>
                <w:sz w:val="15"/>
                <w:szCs w:val="15"/>
              </w:rPr>
              <w:t>The main source of obtaining the data is through surveys, administrative records of BON as well as from other data producing institutions</w:t>
            </w:r>
            <w:r w:rsidR="006B6180" w:rsidRPr="00422D4D">
              <w:rPr>
                <w:rFonts w:ascii="Verdana" w:eastAsia="Times New Roman" w:hAnsi="Verdana" w:cs="Times New Roman"/>
                <w:color w:val="000000"/>
                <w:sz w:val="15"/>
                <w:szCs w:val="15"/>
              </w:rPr>
              <w:t xml:space="preserve"> </w:t>
            </w:r>
            <w:r w:rsidR="00B746F7" w:rsidRPr="00422D4D">
              <w:rPr>
                <w:rFonts w:ascii="Verdana" w:eastAsia="Times New Roman" w:hAnsi="Verdana" w:cs="Times New Roman"/>
                <w:color w:val="000000"/>
                <w:sz w:val="15"/>
                <w:szCs w:val="15"/>
              </w:rPr>
              <w:t xml:space="preserve">such as NSA, MOF, </w:t>
            </w:r>
            <w:r w:rsidR="00164779" w:rsidRPr="00422D4D">
              <w:rPr>
                <w:rFonts w:ascii="Verdana" w:eastAsia="Times New Roman" w:hAnsi="Verdana" w:cs="Times New Roman"/>
                <w:color w:val="000000"/>
                <w:sz w:val="15"/>
                <w:szCs w:val="15"/>
              </w:rPr>
              <w:t xml:space="preserve">National Planning Commission (NPC), </w:t>
            </w:r>
            <w:r w:rsidR="00863C41" w:rsidRPr="00422D4D">
              <w:rPr>
                <w:rFonts w:ascii="Verdana" w:eastAsia="Times New Roman" w:hAnsi="Verdana" w:cs="Times New Roman"/>
                <w:color w:val="000000"/>
                <w:sz w:val="15"/>
                <w:szCs w:val="15"/>
              </w:rPr>
              <w:t>International Monetary Funds (</w:t>
            </w:r>
            <w:r w:rsidR="006B6180" w:rsidRPr="00422D4D">
              <w:rPr>
                <w:rFonts w:ascii="Verdana" w:eastAsia="Times New Roman" w:hAnsi="Verdana" w:cs="Times New Roman"/>
                <w:color w:val="000000"/>
                <w:sz w:val="15"/>
                <w:szCs w:val="15"/>
              </w:rPr>
              <w:t>IMF</w:t>
            </w:r>
            <w:r w:rsidR="00863C41" w:rsidRPr="00422D4D">
              <w:rPr>
                <w:rFonts w:ascii="Verdana" w:eastAsia="Times New Roman" w:hAnsi="Verdana" w:cs="Times New Roman"/>
                <w:color w:val="000000"/>
                <w:sz w:val="15"/>
                <w:szCs w:val="15"/>
              </w:rPr>
              <w:t>)</w:t>
            </w:r>
            <w:r w:rsidR="00422D4D" w:rsidRPr="00422D4D">
              <w:rPr>
                <w:rFonts w:ascii="Verdana" w:eastAsia="Times New Roman" w:hAnsi="Verdana" w:cs="Times New Roman"/>
                <w:color w:val="000000"/>
                <w:sz w:val="15"/>
                <w:szCs w:val="15"/>
              </w:rPr>
              <w:t xml:space="preserve">, </w:t>
            </w:r>
            <w:r w:rsidR="003E177E" w:rsidRPr="00422D4D">
              <w:rPr>
                <w:rFonts w:ascii="Verdana" w:eastAsia="Times New Roman" w:hAnsi="Verdana" w:cs="Times New Roman"/>
                <w:color w:val="000000"/>
                <w:sz w:val="15"/>
                <w:szCs w:val="15"/>
              </w:rPr>
              <w:t>Bank for International Settlements (B</w:t>
            </w:r>
            <w:r w:rsidR="006B6180" w:rsidRPr="00422D4D">
              <w:rPr>
                <w:rFonts w:ascii="Verdana" w:eastAsia="Times New Roman" w:hAnsi="Verdana" w:cs="Times New Roman"/>
                <w:color w:val="000000"/>
                <w:sz w:val="15"/>
                <w:szCs w:val="15"/>
              </w:rPr>
              <w:t>IS</w:t>
            </w:r>
            <w:r w:rsidR="003E177E" w:rsidRPr="00422D4D">
              <w:rPr>
                <w:rFonts w:ascii="Verdana" w:eastAsia="Times New Roman" w:hAnsi="Verdana" w:cs="Times New Roman"/>
                <w:color w:val="000000"/>
                <w:sz w:val="15"/>
                <w:szCs w:val="15"/>
              </w:rPr>
              <w:t>)</w:t>
            </w:r>
            <w:r w:rsidR="00863C41" w:rsidRPr="00422D4D">
              <w:rPr>
                <w:rFonts w:ascii="Verdana" w:eastAsia="Times New Roman" w:hAnsi="Verdana" w:cs="Times New Roman"/>
                <w:color w:val="000000"/>
                <w:sz w:val="15"/>
                <w:szCs w:val="15"/>
              </w:rPr>
              <w:t xml:space="preserve">, International Transaction Report System </w:t>
            </w:r>
            <w:r w:rsidR="00422D4D" w:rsidRPr="00422D4D">
              <w:rPr>
                <w:rFonts w:ascii="Verdana" w:eastAsia="Times New Roman" w:hAnsi="Verdana" w:cs="Times New Roman"/>
                <w:color w:val="000000"/>
                <w:sz w:val="15"/>
                <w:szCs w:val="15"/>
              </w:rPr>
              <w:t>(</w:t>
            </w:r>
            <w:r w:rsidR="00863C41" w:rsidRPr="00422D4D">
              <w:rPr>
                <w:rFonts w:ascii="Verdana" w:eastAsia="Times New Roman" w:hAnsi="Verdana" w:cs="Times New Roman"/>
                <w:color w:val="000000"/>
                <w:sz w:val="15"/>
                <w:szCs w:val="15"/>
              </w:rPr>
              <w:t>ITRS</w:t>
            </w:r>
            <w:r w:rsidR="00422D4D" w:rsidRPr="00422D4D">
              <w:rPr>
                <w:rFonts w:ascii="Verdana" w:eastAsia="Times New Roman" w:hAnsi="Verdana" w:cs="Times New Roman"/>
                <w:color w:val="000000"/>
                <w:sz w:val="15"/>
                <w:szCs w:val="15"/>
              </w:rPr>
              <w:t xml:space="preserve">) and </w:t>
            </w:r>
            <w:r w:rsidR="00422D4D">
              <w:rPr>
                <w:rFonts w:ascii="Verdana" w:eastAsia="Times New Roman" w:hAnsi="Verdana" w:cs="Times New Roman"/>
                <w:color w:val="000000"/>
                <w:sz w:val="15"/>
                <w:szCs w:val="15"/>
              </w:rPr>
              <w:t xml:space="preserve">the </w:t>
            </w:r>
            <w:r w:rsidR="00422D4D" w:rsidRPr="00422D4D">
              <w:rPr>
                <w:rFonts w:ascii="Verdana" w:eastAsia="Times New Roman" w:hAnsi="Verdana" w:cs="Times New Roman"/>
                <w:color w:val="000000"/>
                <w:sz w:val="15"/>
                <w:szCs w:val="15"/>
              </w:rPr>
              <w:t>Coordinated Direct Investment Survey (</w:t>
            </w:r>
            <w:r w:rsidR="00863C41" w:rsidRPr="00422D4D">
              <w:rPr>
                <w:rFonts w:ascii="Verdana" w:eastAsia="Times New Roman" w:hAnsi="Verdana" w:cs="Times New Roman"/>
                <w:color w:val="000000"/>
                <w:sz w:val="15"/>
                <w:szCs w:val="15"/>
              </w:rPr>
              <w:t>CDIS</w:t>
            </w:r>
            <w:r w:rsidR="00422D4D" w:rsidRPr="00422D4D">
              <w:rPr>
                <w:rFonts w:ascii="Verdana" w:eastAsia="Times New Roman" w:hAnsi="Verdana" w:cs="Times New Roman"/>
                <w:color w:val="000000"/>
                <w:sz w:val="15"/>
                <w:szCs w:val="15"/>
              </w:rPr>
              <w:t>).</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9" w:name="213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1.1.3 Commenting on erroneous interpretation and misuse of statistics</w:t>
            </w:r>
          </w:p>
          <w:bookmarkEnd w:id="9"/>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651EBD">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Before any official release of a major report such as Annual Report or Quarterly Bulletin, erroneous statements or misuse of statistics are identified by only the staff of the Research Department and in case of any detection of such errors, an erratum is issued with the released report, stating the error and provide correct interpretation or statistics.</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1.2 Transparency</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10" w:name="221000"/>
            <w:r w:rsidRPr="00D72C32">
              <w:rPr>
                <w:rFonts w:ascii="Verdana" w:eastAsia="Times New Roman" w:hAnsi="Verdana" w:cs="Times New Roman"/>
                <w:b/>
                <w:bCs/>
                <w:color w:val="0000FF"/>
                <w:sz w:val="15"/>
                <w:szCs w:val="15"/>
              </w:rPr>
              <w:t>1.2.1 Disclosure of terms and conditions for statistical collection, processing, and dissemination</w:t>
            </w:r>
          </w:p>
          <w:bookmarkEnd w:id="10"/>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 Bank of Namibia Act is available to users upon request and it is also posted on the Bank of Namibia website: </w:t>
            </w:r>
            <w:hyperlink r:id="rId7" w:history="1">
              <w:r w:rsidRPr="00D72C32">
                <w:rPr>
                  <w:rFonts w:ascii="Verdana" w:eastAsia="Times New Roman" w:hAnsi="Verdana" w:cs="Times New Roman"/>
                  <w:color w:val="0000FF"/>
                  <w:sz w:val="15"/>
                  <w:szCs w:val="15"/>
                  <w:u w:val="single"/>
                </w:rPr>
                <w:t>http://www.bon.com.na</w:t>
              </w:r>
            </w:hyperlink>
          </w:p>
          <w:p w:rsidR="00D72C32" w:rsidRPr="00D72C32" w:rsidRDefault="00D72C32" w:rsidP="00D72C32">
            <w:pPr>
              <w:spacing w:after="0" w:line="240" w:lineRule="auto"/>
              <w:rPr>
                <w:rFonts w:ascii="Verdana" w:eastAsia="Times New Roman" w:hAnsi="Verdana" w:cs="Times New Roman"/>
                <w:color w:val="0000FF"/>
                <w:sz w:val="15"/>
                <w:szCs w:val="15"/>
              </w:rPr>
            </w:pPr>
            <w:bookmarkStart w:id="11" w:name="22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1.2.2 Internal governmental access to statistics prior to release</w:t>
            </w:r>
          </w:p>
          <w:bookmarkEnd w:id="11"/>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No persons have access to the data and or publications of the Bank of Namibia, prior to its publication apart from staff members of the Research department.</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12" w:name="223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1.2.3 Attribution of statistical products</w:t>
            </w:r>
          </w:p>
          <w:bookmarkEnd w:id="12"/>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No ministerial comment is attached to statistical releases.</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13" w:name="224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1.2.4 Advance notice of major changes in methodology, source data, and statistical techniques.</w:t>
            </w:r>
          </w:p>
          <w:bookmarkEnd w:id="13"/>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293F77">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A revision policy is in place for the Balance of Payments data and is published each quarter with every release of the Quarterly Bulletin. Data released in the previous Quarterly Bulletin are revised in the next quarter with explanatory notes on why the data were revised. Footnotes are also used to indicate which published dat</w:t>
            </w:r>
            <w:r w:rsidRPr="00A22639">
              <w:rPr>
                <w:rFonts w:ascii="Verdana" w:eastAsia="Times New Roman" w:hAnsi="Verdana" w:cs="Times New Roman"/>
                <w:color w:val="000000"/>
                <w:sz w:val="15"/>
                <w:szCs w:val="15"/>
              </w:rPr>
              <w:t>a are provisional. F</w:t>
            </w:r>
            <w:r w:rsidR="00863C41" w:rsidRPr="00A22639">
              <w:rPr>
                <w:rFonts w:ascii="Verdana" w:eastAsia="Times New Roman" w:hAnsi="Verdana" w:cs="Times New Roman"/>
                <w:color w:val="000000"/>
                <w:sz w:val="15"/>
                <w:szCs w:val="15"/>
              </w:rPr>
              <w:t>urthermore, the revision policy is</w:t>
            </w:r>
            <w:r w:rsidRPr="00A22639">
              <w:rPr>
                <w:rFonts w:ascii="Verdana" w:eastAsia="Times New Roman" w:hAnsi="Verdana" w:cs="Times New Roman"/>
                <w:color w:val="000000"/>
                <w:sz w:val="15"/>
                <w:szCs w:val="15"/>
              </w:rPr>
              <w:t xml:space="preserve"> published on the Bank's website.</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lastRenderedPageBreak/>
              <w:t>1.3 Ethical standards</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14" w:name="231000"/>
            <w:r w:rsidRPr="00D72C32">
              <w:rPr>
                <w:rFonts w:ascii="Verdana" w:eastAsia="Times New Roman" w:hAnsi="Verdana" w:cs="Times New Roman"/>
                <w:b/>
                <w:bCs/>
                <w:color w:val="0000FF"/>
                <w:sz w:val="15"/>
                <w:szCs w:val="15"/>
              </w:rPr>
              <w:t>1.3.1 Guidelines for staff behavior</w:t>
            </w:r>
          </w:p>
          <w:bookmarkEnd w:id="14"/>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293F77">
            <w:pPr>
              <w:spacing w:beforeAutospacing="1" w:after="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BON's staff are encouraged to act ethically at all times. A staff handbook on how staff members should behave in or outside the Bank premises are made available to staff and guidelines are published under the Human Resources' issues in the Internet and is further encouraged through the Vision and Mission of BON.</w:t>
            </w:r>
            <w:r w:rsidR="00293F77">
              <w:rPr>
                <w:rFonts w:ascii="Verdana" w:eastAsia="Times New Roman" w:hAnsi="Verdana" w:cs="Times New Roman"/>
                <w:color w:val="000000"/>
                <w:sz w:val="15"/>
                <w:szCs w:val="15"/>
              </w:rPr>
              <w:t xml:space="preserve"> All staff are also to adhere to the Code of Ethics. </w:t>
            </w:r>
            <w:r w:rsidR="00293F77" w:rsidRPr="00293F77">
              <w:rPr>
                <w:rFonts w:ascii="Verdana" w:eastAsia="Times New Roman" w:hAnsi="Verdana" w:cs="Times New Roman"/>
                <w:color w:val="000000"/>
                <w:sz w:val="15"/>
                <w:szCs w:val="15"/>
              </w:rPr>
              <w:t>The Code is issued in terms of section 59 (2) of the Act and which the Board of the Bank makes applicable for strict adherence by all appointed staff members and as an enforceable part of their terms and conditions of employment to the Bank</w:t>
            </w:r>
            <w:r w:rsidR="00293F77">
              <w:rPr>
                <w:rFonts w:ascii="Verdana" w:eastAsia="Times New Roman" w:hAnsi="Verdana" w:cs="Times New Roman"/>
                <w:color w:val="000000"/>
                <w:sz w:val="15"/>
                <w:szCs w:val="15"/>
              </w:rPr>
              <w:t xml:space="preserve">. </w:t>
            </w:r>
          </w:p>
          <w:p w:rsidR="00D72C32" w:rsidRPr="00D72C32" w:rsidRDefault="00D72C32" w:rsidP="00D72C32">
            <w:pPr>
              <w:spacing w:after="0" w:line="240" w:lineRule="auto"/>
              <w:rPr>
                <w:rFonts w:ascii="Verdana" w:eastAsia="Times New Roman" w:hAnsi="Verdana" w:cs="Times New Roman"/>
                <w:color w:val="000000"/>
                <w:sz w:val="15"/>
                <w:szCs w:val="15"/>
              </w:rPr>
            </w:pPr>
          </w:p>
        </w:tc>
      </w:tr>
      <w:bookmarkEnd w:id="6"/>
      <w:tr w:rsidR="00D72C32" w:rsidRPr="00D72C32" w:rsidTr="00D72C32">
        <w:trPr>
          <w:jc w:val="center"/>
        </w:trPr>
        <w:tc>
          <w:tcPr>
            <w:tcW w:w="0" w:type="auto"/>
            <w:gridSpan w:val="2"/>
            <w:tcBorders>
              <w:top w:val="single" w:sz="6" w:space="0" w:color="7F7F7F"/>
              <w:left w:val="single" w:sz="6" w:space="0" w:color="7F7F7F"/>
              <w:bottom w:val="single" w:sz="6" w:space="0" w:color="7F7F7F"/>
              <w:right w:val="single" w:sz="6" w:space="0" w:color="7F7F7F"/>
            </w:tcBorders>
            <w:shd w:val="clear" w:color="auto" w:fill="E7E7FF"/>
            <w:tcMar>
              <w:top w:w="0" w:type="dxa"/>
              <w:left w:w="30" w:type="dxa"/>
              <w:bottom w:w="0" w:type="dxa"/>
              <w:right w:w="0" w:type="dxa"/>
            </w:tcMar>
            <w:hideMark/>
          </w:tcPr>
          <w:p w:rsidR="00D72C32" w:rsidRPr="00D72C32" w:rsidRDefault="00D72C32" w:rsidP="00D72C32">
            <w:pPr>
              <w:spacing w:after="0" w:line="240" w:lineRule="auto"/>
              <w:jc w:val="center"/>
              <w:rPr>
                <w:rFonts w:ascii="Verdana" w:eastAsia="Times New Roman" w:hAnsi="Verdana" w:cs="Times New Roman"/>
                <w:b/>
                <w:bCs/>
                <w:color w:val="0000FF"/>
                <w:sz w:val="21"/>
                <w:szCs w:val="21"/>
              </w:rPr>
            </w:pPr>
            <w:r w:rsidRPr="00D72C32">
              <w:rPr>
                <w:rFonts w:ascii="Verdana" w:eastAsia="Times New Roman" w:hAnsi="Verdana" w:cs="Times New Roman"/>
                <w:b/>
                <w:bCs/>
                <w:color w:val="0000FF"/>
                <w:sz w:val="21"/>
                <w:szCs w:val="21"/>
              </w:rPr>
              <w:t>2. Methodology</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bookmarkStart w:id="15" w:name="300000" w:colFirst="0" w:colLast="0"/>
            <w:r w:rsidRPr="00D72C32">
              <w:rPr>
                <w:rFonts w:ascii="Verdana" w:eastAsia="Times New Roman" w:hAnsi="Verdana" w:cs="Times New Roman"/>
                <w:b/>
                <w:bCs/>
                <w:color w:val="0000FF"/>
                <w:sz w:val="15"/>
                <w:szCs w:val="15"/>
              </w:rPr>
              <w:t>2.1 Concepts and definitions</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16" w:name="311000"/>
            <w:r w:rsidRPr="00D72C32">
              <w:rPr>
                <w:rFonts w:ascii="Verdana" w:eastAsia="Times New Roman" w:hAnsi="Verdana" w:cs="Times New Roman"/>
                <w:b/>
                <w:bCs/>
                <w:color w:val="0000FF"/>
                <w:sz w:val="15"/>
                <w:szCs w:val="15"/>
              </w:rPr>
              <w:t>2.1.1 Concepts and definitions</w:t>
            </w:r>
          </w:p>
          <w:bookmarkEnd w:id="16"/>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123CD2">
            <w:pPr>
              <w:spacing w:beforeAutospacing="1" w:after="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The balance of payments for Namibia is a statistical statement summarizing the economic transactions of residents of Namibia with the rest of the world. The Bank of Namibia (BoN) is responsible for the compilation of the balance of payments statistics. The legal basis for compilation of BOP is the BoN Act no. 15 of 1997. The balance of payments presentation and methodology are largely in conformity </w:t>
            </w:r>
            <w:r w:rsidRPr="00863C41">
              <w:rPr>
                <w:rFonts w:ascii="Verdana" w:eastAsia="Times New Roman" w:hAnsi="Verdana" w:cs="Times New Roman"/>
                <w:color w:val="000000"/>
                <w:sz w:val="15"/>
                <w:szCs w:val="15"/>
              </w:rPr>
              <w:t xml:space="preserve">with the </w:t>
            </w:r>
            <w:r w:rsidR="0045583B" w:rsidRPr="00863C41">
              <w:rPr>
                <w:rFonts w:ascii="Verdana" w:eastAsia="Times New Roman" w:hAnsi="Verdana" w:cs="Times New Roman"/>
                <w:color w:val="000000"/>
                <w:sz w:val="15"/>
                <w:szCs w:val="15"/>
              </w:rPr>
              <w:t>six</w:t>
            </w:r>
            <w:r w:rsidRPr="00863C41">
              <w:rPr>
                <w:rFonts w:ascii="Verdana" w:eastAsia="Times New Roman" w:hAnsi="Verdana" w:cs="Times New Roman"/>
                <w:color w:val="000000"/>
                <w:sz w:val="15"/>
                <w:szCs w:val="15"/>
              </w:rPr>
              <w:t>th edition of the IMF </w:t>
            </w:r>
            <w:r w:rsidR="0045583B" w:rsidRPr="00863C41">
              <w:rPr>
                <w:rFonts w:ascii="Verdana" w:eastAsia="Times New Roman" w:hAnsi="Verdana" w:cs="Times New Roman"/>
                <w:i/>
                <w:iCs/>
                <w:color w:val="000000"/>
                <w:sz w:val="15"/>
                <w:szCs w:val="15"/>
              </w:rPr>
              <w:t xml:space="preserve">Balance of Payments </w:t>
            </w:r>
            <w:r w:rsidR="003E177E" w:rsidRPr="00863C41">
              <w:rPr>
                <w:rFonts w:ascii="Verdana" w:eastAsia="Times New Roman" w:hAnsi="Verdana" w:cs="Times New Roman"/>
                <w:i/>
                <w:iCs/>
                <w:color w:val="000000"/>
                <w:sz w:val="15"/>
                <w:szCs w:val="15"/>
              </w:rPr>
              <w:t>and International Investment Position</w:t>
            </w:r>
            <w:r w:rsidR="003E177E">
              <w:rPr>
                <w:rFonts w:ascii="Verdana" w:eastAsia="Times New Roman" w:hAnsi="Verdana" w:cs="Times New Roman"/>
                <w:i/>
                <w:iCs/>
                <w:color w:val="000000"/>
                <w:sz w:val="15"/>
                <w:szCs w:val="15"/>
              </w:rPr>
              <w:t xml:space="preserve"> </w:t>
            </w:r>
            <w:r w:rsidR="0045583B">
              <w:rPr>
                <w:rFonts w:ascii="Verdana" w:eastAsia="Times New Roman" w:hAnsi="Verdana" w:cs="Times New Roman"/>
                <w:i/>
                <w:iCs/>
                <w:color w:val="000000"/>
                <w:sz w:val="15"/>
                <w:szCs w:val="15"/>
              </w:rPr>
              <w:t>Manual (BPM6</w:t>
            </w:r>
            <w:r w:rsidRPr="00D72C32">
              <w:rPr>
                <w:rFonts w:ascii="Verdana" w:eastAsia="Times New Roman" w:hAnsi="Verdana" w:cs="Times New Roman"/>
                <w:i/>
                <w:iCs/>
                <w:color w:val="000000"/>
                <w:sz w:val="15"/>
                <w:szCs w:val="15"/>
              </w:rPr>
              <w:t>)</w:t>
            </w:r>
            <w:r w:rsidRPr="00D72C32">
              <w:rPr>
                <w:rFonts w:ascii="Verdana" w:eastAsia="Times New Roman" w:hAnsi="Verdana" w:cs="Times New Roman"/>
                <w:color w:val="000000"/>
                <w:sz w:val="15"/>
                <w:szCs w:val="15"/>
              </w:rPr>
              <w:t>.</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2.2 Scope</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17" w:name="321100"/>
            <w:r w:rsidRPr="00D72C32">
              <w:rPr>
                <w:rFonts w:ascii="Verdana" w:eastAsia="Times New Roman" w:hAnsi="Verdana" w:cs="Times New Roman"/>
                <w:b/>
                <w:bCs/>
                <w:color w:val="0000FF"/>
                <w:sz w:val="15"/>
                <w:szCs w:val="15"/>
              </w:rPr>
              <w:t>Scope of the data</w:t>
            </w:r>
          </w:p>
          <w:bookmarkEnd w:id="17"/>
          <w:p w:rsidR="00D72C32" w:rsidRPr="00D72C32" w:rsidRDefault="00D72C32" w:rsidP="00D72C32">
            <w:pPr>
              <w:spacing w:after="0" w:line="240" w:lineRule="auto"/>
              <w:rPr>
                <w:rFonts w:ascii="Verdana" w:eastAsia="Times New Roman" w:hAnsi="Verdana" w:cs="Times New Roman"/>
                <w:color w:val="000000"/>
                <w:sz w:val="15"/>
                <w:szCs w:val="15"/>
              </w:rPr>
            </w:pPr>
          </w:p>
          <w:p w:rsidR="00863C41" w:rsidRDefault="00863C41" w:rsidP="00D72C32">
            <w:pPr>
              <w:spacing w:before="100" w:beforeAutospacing="1" w:after="100" w:afterAutospacing="1" w:line="240" w:lineRule="auto"/>
              <w:rPr>
                <w:rFonts w:ascii="Verdana" w:eastAsia="Times New Roman" w:hAnsi="Verdana" w:cs="Times New Roman"/>
                <w:color w:val="000000"/>
                <w:sz w:val="15"/>
                <w:szCs w:val="15"/>
              </w:rPr>
            </w:pPr>
            <w:r w:rsidRPr="00422D4D">
              <w:rPr>
                <w:rFonts w:ascii="Verdana" w:eastAsia="Times New Roman" w:hAnsi="Verdana" w:cs="Times New Roman"/>
                <w:color w:val="000000"/>
                <w:sz w:val="15"/>
                <w:szCs w:val="15"/>
              </w:rPr>
              <w:t>The Bank of Namibia (BoN) is responsible for the compilation and dissemination of balance of payments statistics.</w:t>
            </w:r>
            <w:r w:rsidRPr="00D72C32">
              <w:rPr>
                <w:rFonts w:ascii="Verdana" w:eastAsia="Times New Roman" w:hAnsi="Verdana" w:cs="Times New Roman"/>
                <w:color w:val="000000"/>
                <w:sz w:val="15"/>
                <w:szCs w:val="15"/>
              </w:rPr>
              <w:t xml:space="preserve"> </w:t>
            </w: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 geographic territory of Namibia, including Export Processing Zones, is the territory of reference for the balance of payments.</w:t>
            </w:r>
          </w:p>
          <w:p w:rsidR="00D72C32" w:rsidRPr="00D72C32" w:rsidRDefault="00D72C32" w:rsidP="00123CD2">
            <w:pPr>
              <w:spacing w:beforeAutospacing="1" w:after="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In principle, all major transactions are recorded. The transactions recorded in the balance of payment statistics are those of Namibian residents with non-residents. </w:t>
            </w:r>
            <w:r w:rsidR="00123CD2">
              <w:rPr>
                <w:rFonts w:ascii="Verdana" w:eastAsia="Times New Roman" w:hAnsi="Verdana" w:cs="Times New Roman"/>
                <w:color w:val="000000"/>
                <w:sz w:val="15"/>
                <w:szCs w:val="15"/>
              </w:rPr>
              <w:t>With the migration to BPM6 (since June</w:t>
            </w:r>
            <w:r w:rsidRPr="00D72C32">
              <w:rPr>
                <w:rFonts w:ascii="Verdana" w:eastAsia="Times New Roman" w:hAnsi="Verdana" w:cs="Times New Roman"/>
                <w:color w:val="000000"/>
                <w:sz w:val="15"/>
                <w:szCs w:val="15"/>
              </w:rPr>
              <w:t xml:space="preserve"> 201</w:t>
            </w:r>
            <w:r w:rsidR="00123CD2">
              <w:rPr>
                <w:rFonts w:ascii="Verdana" w:eastAsia="Times New Roman" w:hAnsi="Verdana" w:cs="Times New Roman"/>
                <w:color w:val="000000"/>
                <w:sz w:val="15"/>
                <w:szCs w:val="15"/>
              </w:rPr>
              <w:t>7</w:t>
            </w:r>
            <w:r w:rsidRPr="00D72C32">
              <w:rPr>
                <w:rFonts w:ascii="Verdana" w:eastAsia="Times New Roman" w:hAnsi="Verdana" w:cs="Times New Roman"/>
                <w:color w:val="000000"/>
                <w:sz w:val="15"/>
                <w:szCs w:val="15"/>
              </w:rPr>
              <w:t>)</w:t>
            </w:r>
            <w:r w:rsidR="00123CD2">
              <w:rPr>
                <w:rFonts w:ascii="Verdana" w:eastAsia="Times New Roman" w:hAnsi="Verdana" w:cs="Times New Roman"/>
                <w:color w:val="000000"/>
                <w:sz w:val="15"/>
                <w:szCs w:val="15"/>
              </w:rPr>
              <w:t xml:space="preserve"> a wide range of data sources have been introduced. Balance of payments</w:t>
            </w:r>
            <w:r w:rsidRPr="00D72C32">
              <w:rPr>
                <w:rFonts w:ascii="Verdana" w:eastAsia="Times New Roman" w:hAnsi="Verdana" w:cs="Times New Roman"/>
                <w:color w:val="000000"/>
                <w:sz w:val="15"/>
                <w:szCs w:val="15"/>
              </w:rPr>
              <w:t xml:space="preserve"> data </w:t>
            </w:r>
            <w:r w:rsidR="00123CD2">
              <w:rPr>
                <w:rFonts w:ascii="Verdana" w:eastAsia="Times New Roman" w:hAnsi="Verdana" w:cs="Times New Roman"/>
                <w:color w:val="000000"/>
                <w:sz w:val="15"/>
                <w:szCs w:val="15"/>
              </w:rPr>
              <w:t xml:space="preserve">is </w:t>
            </w:r>
            <w:r w:rsidRPr="00D72C32">
              <w:rPr>
                <w:rFonts w:ascii="Verdana" w:eastAsia="Times New Roman" w:hAnsi="Verdana" w:cs="Times New Roman"/>
                <w:color w:val="000000"/>
                <w:sz w:val="15"/>
                <w:szCs w:val="15"/>
              </w:rPr>
              <w:t xml:space="preserve">sourced from the </w:t>
            </w:r>
            <w:r w:rsidR="00123CD2">
              <w:rPr>
                <w:rFonts w:ascii="Verdana" w:eastAsia="Times New Roman" w:hAnsi="Verdana" w:cs="Times New Roman"/>
                <w:color w:val="000000"/>
                <w:sz w:val="15"/>
                <w:szCs w:val="15"/>
              </w:rPr>
              <w:t xml:space="preserve">quarterly enterprise surveys, </w:t>
            </w:r>
            <w:r w:rsidRPr="00D72C32">
              <w:rPr>
                <w:rFonts w:ascii="Verdana" w:eastAsia="Times New Roman" w:hAnsi="Verdana" w:cs="Times New Roman"/>
                <w:color w:val="000000"/>
                <w:sz w:val="15"/>
                <w:szCs w:val="15"/>
              </w:rPr>
              <w:t>admin records within the Bank</w:t>
            </w:r>
            <w:r w:rsidR="00123CD2">
              <w:rPr>
                <w:rFonts w:ascii="Verdana" w:eastAsia="Times New Roman" w:hAnsi="Verdana" w:cs="Times New Roman"/>
                <w:color w:val="000000"/>
                <w:sz w:val="15"/>
                <w:szCs w:val="15"/>
              </w:rPr>
              <w:t xml:space="preserve"> as well as key institutions</w:t>
            </w:r>
            <w:r w:rsidRPr="00D72C32">
              <w:rPr>
                <w:rFonts w:ascii="Verdana" w:eastAsia="Times New Roman" w:hAnsi="Verdana" w:cs="Times New Roman"/>
                <w:color w:val="000000"/>
                <w:sz w:val="15"/>
                <w:szCs w:val="15"/>
              </w:rPr>
              <w:t>, Coordinated Direct Investment Survey (CDIS)</w:t>
            </w:r>
            <w:r w:rsidR="00123CD2">
              <w:rPr>
                <w:rFonts w:ascii="Verdana" w:eastAsia="Times New Roman" w:hAnsi="Verdana" w:cs="Times New Roman"/>
                <w:color w:val="000000"/>
                <w:sz w:val="15"/>
                <w:szCs w:val="15"/>
              </w:rPr>
              <w:t>, BIS</w:t>
            </w:r>
            <w:r w:rsidRPr="00D72C32">
              <w:rPr>
                <w:rFonts w:ascii="Verdana" w:eastAsia="Times New Roman" w:hAnsi="Verdana" w:cs="Times New Roman"/>
                <w:color w:val="000000"/>
                <w:sz w:val="15"/>
                <w:szCs w:val="15"/>
              </w:rPr>
              <w:t xml:space="preserve"> and the International Transaction Reporting System (ITRS). In addition, </w:t>
            </w:r>
            <w:r w:rsidR="00123CD2">
              <w:rPr>
                <w:rFonts w:ascii="Verdana" w:eastAsia="Times New Roman" w:hAnsi="Verdana" w:cs="Times New Roman"/>
                <w:color w:val="000000"/>
                <w:sz w:val="15"/>
                <w:szCs w:val="15"/>
              </w:rPr>
              <w:t>trade data</w:t>
            </w:r>
            <w:r w:rsidRPr="00D72C32">
              <w:rPr>
                <w:rFonts w:ascii="Verdana" w:eastAsia="Times New Roman" w:hAnsi="Verdana" w:cs="Times New Roman"/>
                <w:color w:val="000000"/>
                <w:sz w:val="15"/>
                <w:szCs w:val="15"/>
              </w:rPr>
              <w:t xml:space="preserve"> are sourced from Namibia Statistics Agency (NSA) and reconciliation is done on the data to ensure correct adjustments and coverage to comply with BOP requirements and the Standards of National Accounts (SNA). </w:t>
            </w:r>
          </w:p>
          <w:p w:rsidR="00D72C32" w:rsidRPr="00D72C32" w:rsidRDefault="00D72C32" w:rsidP="00123CD2">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In principle, all the major resident units of the reporting economy that have transactions with the rest of the world are included in the BOP.</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18" w:name="3212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Exceptions to coverage</w:t>
            </w:r>
          </w:p>
          <w:bookmarkEnd w:id="18"/>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123CD2">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lastRenderedPageBreak/>
              <w:t xml:space="preserve">Smuggling activities especially those for diamonds and other precious items are also included in the coverage based on the estimates of the Bank of Namibia. </w:t>
            </w:r>
          </w:p>
          <w:p w:rsidR="00D72C32" w:rsidRPr="00D72C32" w:rsidRDefault="00D72C32" w:rsidP="00123CD2">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Data on Financial deri</w:t>
            </w:r>
            <w:r w:rsidR="00123CD2">
              <w:rPr>
                <w:rFonts w:ascii="Verdana" w:eastAsia="Times New Roman" w:hAnsi="Verdana" w:cs="Times New Roman"/>
                <w:color w:val="000000"/>
                <w:sz w:val="15"/>
                <w:szCs w:val="15"/>
              </w:rPr>
              <w:t>vatives are</w:t>
            </w:r>
            <w:r w:rsidRPr="00D72C32">
              <w:rPr>
                <w:rFonts w:ascii="Verdana" w:eastAsia="Times New Roman" w:hAnsi="Verdana" w:cs="Times New Roman"/>
                <w:color w:val="000000"/>
                <w:sz w:val="15"/>
                <w:szCs w:val="15"/>
              </w:rPr>
              <w:t xml:space="preserve"> reflected</w:t>
            </w:r>
            <w:r w:rsidR="00123CD2">
              <w:rPr>
                <w:rFonts w:ascii="Verdana" w:eastAsia="Times New Roman" w:hAnsi="Verdana" w:cs="Times New Roman"/>
                <w:color w:val="000000"/>
                <w:sz w:val="15"/>
                <w:szCs w:val="15"/>
              </w:rPr>
              <w:t xml:space="preserve"> separately as a new functional category</w:t>
            </w:r>
            <w:r w:rsidRPr="00D72C32">
              <w:rPr>
                <w:rFonts w:ascii="Verdana" w:eastAsia="Times New Roman" w:hAnsi="Verdana" w:cs="Times New Roman"/>
                <w:color w:val="000000"/>
                <w:sz w:val="15"/>
                <w:szCs w:val="15"/>
              </w:rPr>
              <w:t xml:space="preserve"> in the new framework on BPM6. While portfolio investment of non-residents in the Namibian economy is </w:t>
            </w:r>
            <w:r w:rsidR="00C64B25">
              <w:rPr>
                <w:rFonts w:ascii="Verdana" w:eastAsia="Times New Roman" w:hAnsi="Verdana" w:cs="Times New Roman"/>
                <w:color w:val="000000"/>
                <w:sz w:val="15"/>
                <w:szCs w:val="15"/>
              </w:rPr>
              <w:t>sourced from the enterprise survey and Public Finance Statistics</w:t>
            </w:r>
            <w:r w:rsidRPr="00D72C32">
              <w:rPr>
                <w:rFonts w:ascii="Verdana" w:eastAsia="Times New Roman" w:hAnsi="Verdana" w:cs="Times New Roman"/>
                <w:color w:val="000000"/>
                <w:sz w:val="15"/>
                <w:szCs w:val="15"/>
              </w:rPr>
              <w:t>.</w:t>
            </w:r>
          </w:p>
          <w:p w:rsidR="00D72C32" w:rsidRPr="00D72C32" w:rsidRDefault="00D72C32" w:rsidP="009E55F4">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Data on other capital between related financial corporations, mostly banks are excluded from foreign direct investment and included in other investment</w:t>
            </w:r>
            <w:r w:rsidR="00123CD2">
              <w:rPr>
                <w:rFonts w:ascii="Verdana" w:eastAsia="Times New Roman" w:hAnsi="Verdana" w:cs="Times New Roman"/>
                <w:color w:val="000000"/>
                <w:sz w:val="15"/>
                <w:szCs w:val="15"/>
              </w:rPr>
              <w:t xml:space="preserve"> as per BPM6 </w:t>
            </w:r>
            <w:r w:rsidR="00726C00">
              <w:rPr>
                <w:rFonts w:ascii="Verdana" w:eastAsia="Times New Roman" w:hAnsi="Verdana" w:cs="Times New Roman"/>
                <w:color w:val="000000"/>
                <w:sz w:val="15"/>
                <w:szCs w:val="15"/>
              </w:rPr>
              <w:t>principles</w:t>
            </w:r>
            <w:r w:rsidRPr="00D72C32">
              <w:rPr>
                <w:rFonts w:ascii="Verdana" w:eastAsia="Times New Roman" w:hAnsi="Verdana" w:cs="Times New Roman"/>
                <w:color w:val="000000"/>
                <w:sz w:val="15"/>
                <w:szCs w:val="15"/>
              </w:rPr>
              <w:t>.</w:t>
            </w:r>
          </w:p>
          <w:p w:rsidR="009E55F4" w:rsidRDefault="009E55F4" w:rsidP="009E55F4">
            <w:pPr>
              <w:spacing w:before="100" w:beforeAutospacing="1" w:after="100" w:afterAutospacing="1" w:line="240" w:lineRule="auto"/>
              <w:jc w:val="both"/>
              <w:rPr>
                <w:rFonts w:ascii="Verdana" w:eastAsia="Times New Roman" w:hAnsi="Verdana" w:cs="Times New Roman"/>
                <w:color w:val="000000"/>
                <w:sz w:val="15"/>
                <w:szCs w:val="15"/>
              </w:rPr>
            </w:pPr>
            <w:bookmarkStart w:id="19" w:name="321300"/>
            <w:r w:rsidRPr="00D72C32">
              <w:rPr>
                <w:rFonts w:ascii="Verdana" w:eastAsia="Times New Roman" w:hAnsi="Verdana" w:cs="Times New Roman"/>
                <w:color w:val="000000"/>
                <w:sz w:val="15"/>
                <w:szCs w:val="15"/>
              </w:rPr>
              <w:t>Data on informal</w:t>
            </w:r>
            <w:r>
              <w:rPr>
                <w:rFonts w:ascii="Verdana" w:eastAsia="Times New Roman" w:hAnsi="Verdana" w:cs="Times New Roman"/>
                <w:color w:val="000000"/>
                <w:sz w:val="15"/>
                <w:szCs w:val="15"/>
              </w:rPr>
              <w:t>/shuttle</w:t>
            </w:r>
            <w:r w:rsidRPr="00D72C32">
              <w:rPr>
                <w:rFonts w:ascii="Verdana" w:eastAsia="Times New Roman" w:hAnsi="Verdana" w:cs="Times New Roman"/>
                <w:color w:val="000000"/>
                <w:sz w:val="15"/>
                <w:szCs w:val="15"/>
              </w:rPr>
              <w:t xml:space="preserve"> trade are covered in the trade data. </w:t>
            </w:r>
            <w:r>
              <w:rPr>
                <w:rFonts w:ascii="Verdana" w:eastAsia="Times New Roman" w:hAnsi="Verdana" w:cs="Times New Roman"/>
                <w:color w:val="000000"/>
                <w:sz w:val="15"/>
                <w:szCs w:val="15"/>
              </w:rPr>
              <w:t>The estimates for shuttle trade was derived from a</w:t>
            </w:r>
            <w:r w:rsidRPr="00D72C32">
              <w:rPr>
                <w:rFonts w:ascii="Verdana" w:eastAsia="Times New Roman" w:hAnsi="Verdana" w:cs="Times New Roman"/>
                <w:color w:val="000000"/>
                <w:sz w:val="15"/>
                <w:szCs w:val="15"/>
              </w:rPr>
              <w:t xml:space="preserve"> pilot study carried out in 2015 in collaboration with the NSA and Customs officials in order to estimate the significance of informal trade for various periods of a year. In the capital account, </w:t>
            </w:r>
            <w:r w:rsidRPr="00422D4D">
              <w:rPr>
                <w:rFonts w:ascii="Verdana" w:eastAsia="Times New Roman" w:hAnsi="Verdana" w:cs="Times New Roman"/>
                <w:color w:val="000000"/>
                <w:sz w:val="15"/>
                <w:szCs w:val="15"/>
              </w:rPr>
              <w:t xml:space="preserve">data on debt forgiveness for both the government and other sectors are captured using the </w:t>
            </w:r>
            <w:r w:rsidR="00422D4D" w:rsidRPr="00422D4D">
              <w:rPr>
                <w:rFonts w:ascii="Verdana" w:eastAsia="Times New Roman" w:hAnsi="Verdana" w:cs="Times New Roman"/>
                <w:color w:val="000000"/>
                <w:sz w:val="15"/>
                <w:szCs w:val="15"/>
              </w:rPr>
              <w:t>ITRS</w:t>
            </w:r>
            <w:r w:rsidRPr="00422D4D">
              <w:rPr>
                <w:rFonts w:ascii="Verdana" w:eastAsia="Times New Roman" w:hAnsi="Verdana" w:cs="Times New Roman"/>
                <w:color w:val="000000"/>
                <w:sz w:val="15"/>
                <w:szCs w:val="15"/>
              </w:rPr>
              <w:t xml:space="preserve"> data and </w:t>
            </w:r>
            <w:r w:rsidR="00422D4D">
              <w:rPr>
                <w:rFonts w:ascii="Verdana" w:eastAsia="Times New Roman" w:hAnsi="Verdana" w:cs="Times New Roman"/>
                <w:color w:val="000000"/>
                <w:sz w:val="15"/>
                <w:szCs w:val="15"/>
              </w:rPr>
              <w:t>NPC.</w:t>
            </w:r>
          </w:p>
          <w:p w:rsidR="00D72C32" w:rsidRPr="00D72C32" w:rsidRDefault="00D72C32" w:rsidP="00D72C32">
            <w:pPr>
              <w:spacing w:after="0" w:line="240" w:lineRule="auto"/>
              <w:rPr>
                <w:rFonts w:ascii="Verdana" w:eastAsia="Times New Roman" w:hAnsi="Verdana" w:cs="Times New Roman"/>
                <w:color w:val="0000FF"/>
                <w:sz w:val="15"/>
                <w:szCs w:val="15"/>
              </w:rPr>
            </w:pPr>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Unrecorded activity</w:t>
            </w:r>
          </w:p>
          <w:bookmarkEnd w:id="19"/>
          <w:p w:rsidR="00D72C32" w:rsidRPr="00D72C32" w:rsidRDefault="00D72C32" w:rsidP="00D72C32">
            <w:pPr>
              <w:spacing w:after="0" w:line="240" w:lineRule="auto"/>
              <w:rPr>
                <w:rFonts w:ascii="Verdana" w:eastAsia="Times New Roman" w:hAnsi="Verdana" w:cs="Times New Roman"/>
                <w:color w:val="000000"/>
                <w:sz w:val="15"/>
                <w:szCs w:val="15"/>
              </w:rPr>
            </w:pPr>
          </w:p>
          <w:p w:rsidR="009E55F4" w:rsidRDefault="009E55F4" w:rsidP="009E55F4">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I</w:t>
            </w:r>
            <w:r w:rsidRPr="00D72C32">
              <w:rPr>
                <w:rFonts w:ascii="Verdana" w:eastAsia="Times New Roman" w:hAnsi="Verdana" w:cs="Times New Roman"/>
                <w:color w:val="000000"/>
                <w:sz w:val="15"/>
                <w:szCs w:val="15"/>
              </w:rPr>
              <w:t>n the Financial account, estimation of foreign currency, especially the Rand, which might be in the hands of residents, also needs to be estimated and included in the data</w:t>
            </w:r>
            <w:r>
              <w:rPr>
                <w:rFonts w:ascii="Verdana" w:eastAsia="Times New Roman" w:hAnsi="Verdana" w:cs="Times New Roman"/>
                <w:color w:val="000000"/>
                <w:sz w:val="15"/>
                <w:szCs w:val="15"/>
              </w:rPr>
              <w:t xml:space="preserve">. </w:t>
            </w:r>
          </w:p>
          <w:p w:rsidR="009E55F4" w:rsidRPr="00D72C32" w:rsidRDefault="009E55F4" w:rsidP="009E55F4">
            <w:pPr>
              <w:spacing w:before="100" w:beforeAutospacing="1" w:after="100" w:afterAutospacing="1"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lastRenderedPageBreak/>
              <w:t>2.3 Classification/</w:t>
            </w:r>
            <w:proofErr w:type="spellStart"/>
            <w:r w:rsidRPr="00D72C32">
              <w:rPr>
                <w:rFonts w:ascii="Verdana" w:eastAsia="Times New Roman" w:hAnsi="Verdana" w:cs="Times New Roman"/>
                <w:b/>
                <w:bCs/>
                <w:color w:val="0000FF"/>
                <w:sz w:val="15"/>
                <w:szCs w:val="15"/>
              </w:rPr>
              <w:t>sectorization</w:t>
            </w:r>
            <w:proofErr w:type="spellEnd"/>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082B24" w:rsidP="00D72C32">
            <w:pPr>
              <w:shd w:val="clear" w:color="auto" w:fill="E3E4FA"/>
              <w:spacing w:after="0" w:line="240" w:lineRule="auto"/>
              <w:rPr>
                <w:rFonts w:ascii="Verdana" w:eastAsia="Times New Roman" w:hAnsi="Verdana" w:cs="Times New Roman"/>
                <w:b/>
                <w:bCs/>
                <w:color w:val="0000FF"/>
                <w:sz w:val="15"/>
                <w:szCs w:val="15"/>
              </w:rPr>
            </w:pPr>
            <w:bookmarkStart w:id="20" w:name="331000"/>
            <w:r>
              <w:rPr>
                <w:rFonts w:ascii="Verdana" w:eastAsia="Times New Roman" w:hAnsi="Verdana" w:cs="Times New Roman"/>
                <w:b/>
                <w:bCs/>
                <w:color w:val="0000FF"/>
                <w:sz w:val="15"/>
                <w:szCs w:val="15"/>
              </w:rPr>
              <w:t>2.3.1 Classification/</w:t>
            </w:r>
            <w:proofErr w:type="spellStart"/>
            <w:r>
              <w:rPr>
                <w:rFonts w:ascii="Verdana" w:eastAsia="Times New Roman" w:hAnsi="Verdana" w:cs="Times New Roman"/>
                <w:b/>
                <w:bCs/>
                <w:color w:val="0000FF"/>
                <w:sz w:val="15"/>
                <w:szCs w:val="15"/>
              </w:rPr>
              <w:t>S</w:t>
            </w:r>
            <w:r w:rsidR="00D72C32" w:rsidRPr="00D72C32">
              <w:rPr>
                <w:rFonts w:ascii="Verdana" w:eastAsia="Times New Roman" w:hAnsi="Verdana" w:cs="Times New Roman"/>
                <w:b/>
                <w:bCs/>
                <w:color w:val="0000FF"/>
                <w:sz w:val="15"/>
                <w:szCs w:val="15"/>
              </w:rPr>
              <w:t>ectorization</w:t>
            </w:r>
            <w:proofErr w:type="spellEnd"/>
          </w:p>
          <w:bookmarkEnd w:id="20"/>
          <w:p w:rsidR="00D72C32" w:rsidRPr="00D72C32" w:rsidRDefault="00D72C32" w:rsidP="00D72C32">
            <w:pPr>
              <w:spacing w:after="0" w:line="240" w:lineRule="auto"/>
              <w:rPr>
                <w:rFonts w:ascii="Verdana" w:eastAsia="Times New Roman" w:hAnsi="Verdana" w:cs="Times New Roman"/>
                <w:color w:val="000000"/>
                <w:sz w:val="15"/>
                <w:szCs w:val="15"/>
              </w:rPr>
            </w:pPr>
          </w:p>
          <w:p w:rsidR="009E55F4"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 balance of payment statistical framework closely follows that of </w:t>
            </w:r>
            <w:r w:rsidRPr="00D72C32">
              <w:rPr>
                <w:rFonts w:ascii="Verdana" w:eastAsia="Times New Roman" w:hAnsi="Verdana" w:cs="Times New Roman"/>
                <w:i/>
                <w:iCs/>
                <w:color w:val="000000"/>
                <w:sz w:val="15"/>
                <w:szCs w:val="15"/>
              </w:rPr>
              <w:t>BPM</w:t>
            </w:r>
            <w:r w:rsidR="009E55F4">
              <w:rPr>
                <w:rFonts w:ascii="Verdana" w:eastAsia="Times New Roman" w:hAnsi="Verdana" w:cs="Times New Roman"/>
                <w:i/>
                <w:iCs/>
                <w:color w:val="000000"/>
                <w:sz w:val="15"/>
                <w:szCs w:val="15"/>
              </w:rPr>
              <w:t>6</w:t>
            </w:r>
            <w:r w:rsidRPr="00D72C32">
              <w:rPr>
                <w:rFonts w:ascii="Verdana" w:eastAsia="Times New Roman" w:hAnsi="Verdana" w:cs="Times New Roman"/>
                <w:color w:val="000000"/>
                <w:sz w:val="15"/>
                <w:szCs w:val="15"/>
              </w:rPr>
              <w:t>. The collected data are aggregated into t</w:t>
            </w:r>
            <w:r w:rsidR="009E55F4">
              <w:rPr>
                <w:rFonts w:ascii="Verdana" w:eastAsia="Times New Roman" w:hAnsi="Verdana" w:cs="Times New Roman"/>
                <w:color w:val="000000"/>
                <w:sz w:val="15"/>
                <w:szCs w:val="15"/>
              </w:rPr>
              <w:t>hree</w:t>
            </w:r>
            <w:r w:rsidRPr="00D72C32">
              <w:rPr>
                <w:rFonts w:ascii="Verdana" w:eastAsia="Times New Roman" w:hAnsi="Verdana" w:cs="Times New Roman"/>
                <w:color w:val="000000"/>
                <w:sz w:val="15"/>
                <w:szCs w:val="15"/>
              </w:rPr>
              <w:t xml:space="preserve"> main accounts: the current account, the capital</w:t>
            </w:r>
            <w:r w:rsidR="009E55F4">
              <w:rPr>
                <w:rFonts w:ascii="Verdana" w:eastAsia="Times New Roman" w:hAnsi="Verdana" w:cs="Times New Roman"/>
                <w:color w:val="000000"/>
                <w:sz w:val="15"/>
                <w:szCs w:val="15"/>
              </w:rPr>
              <w:t xml:space="preserve"> account</w:t>
            </w:r>
            <w:r w:rsidRPr="00D72C32">
              <w:rPr>
                <w:rFonts w:ascii="Verdana" w:eastAsia="Times New Roman" w:hAnsi="Verdana" w:cs="Times New Roman"/>
                <w:color w:val="000000"/>
                <w:sz w:val="15"/>
                <w:szCs w:val="15"/>
              </w:rPr>
              <w:t xml:space="preserve"> and </w:t>
            </w:r>
            <w:r w:rsidR="009E55F4">
              <w:rPr>
                <w:rFonts w:ascii="Verdana" w:eastAsia="Times New Roman" w:hAnsi="Verdana" w:cs="Times New Roman"/>
                <w:color w:val="000000"/>
                <w:sz w:val="15"/>
                <w:szCs w:val="15"/>
              </w:rPr>
              <w:t xml:space="preserve">the </w:t>
            </w:r>
            <w:r w:rsidRPr="00D72C32">
              <w:rPr>
                <w:rFonts w:ascii="Verdana" w:eastAsia="Times New Roman" w:hAnsi="Verdana" w:cs="Times New Roman"/>
                <w:color w:val="000000"/>
                <w:sz w:val="15"/>
                <w:szCs w:val="15"/>
              </w:rPr>
              <w:t>financial account; the data for the International Investment Position (IIP) is also derived from the BOP surveyed data. The BOP</w:t>
            </w:r>
            <w:r w:rsidR="009E55F4">
              <w:rPr>
                <w:rFonts w:ascii="Verdana" w:eastAsia="Times New Roman" w:hAnsi="Verdana" w:cs="Times New Roman"/>
                <w:color w:val="000000"/>
                <w:sz w:val="15"/>
                <w:szCs w:val="15"/>
              </w:rPr>
              <w:t xml:space="preserve"> officially</w:t>
            </w:r>
            <w:r w:rsidRPr="00D72C32">
              <w:rPr>
                <w:rFonts w:ascii="Verdana" w:eastAsia="Times New Roman" w:hAnsi="Verdana" w:cs="Times New Roman"/>
                <w:color w:val="000000"/>
                <w:sz w:val="15"/>
                <w:szCs w:val="15"/>
              </w:rPr>
              <w:t xml:space="preserve"> </w:t>
            </w:r>
            <w:r w:rsidR="009E55F4">
              <w:rPr>
                <w:rFonts w:ascii="Verdana" w:eastAsia="Times New Roman" w:hAnsi="Verdana" w:cs="Times New Roman"/>
                <w:color w:val="000000"/>
                <w:sz w:val="15"/>
                <w:szCs w:val="15"/>
              </w:rPr>
              <w:t xml:space="preserve">migrated to </w:t>
            </w:r>
            <w:r w:rsidRPr="00D72C32">
              <w:rPr>
                <w:rFonts w:ascii="Verdana" w:eastAsia="Times New Roman" w:hAnsi="Verdana" w:cs="Times New Roman"/>
                <w:i/>
                <w:iCs/>
                <w:color w:val="000000"/>
                <w:sz w:val="15"/>
                <w:szCs w:val="15"/>
              </w:rPr>
              <w:t>BPM6</w:t>
            </w:r>
            <w:r w:rsidR="009E55F4">
              <w:rPr>
                <w:rFonts w:ascii="Verdana" w:eastAsia="Times New Roman" w:hAnsi="Verdana" w:cs="Times New Roman"/>
                <w:color w:val="000000"/>
                <w:sz w:val="15"/>
                <w:szCs w:val="15"/>
              </w:rPr>
              <w:t> framework</w:t>
            </w:r>
            <w:r w:rsidRPr="00D72C32">
              <w:rPr>
                <w:rFonts w:ascii="Verdana" w:eastAsia="Times New Roman" w:hAnsi="Verdana" w:cs="Times New Roman"/>
                <w:color w:val="000000"/>
                <w:sz w:val="15"/>
                <w:szCs w:val="15"/>
              </w:rPr>
              <w:t xml:space="preserve"> </w:t>
            </w:r>
            <w:r w:rsidR="009E55F4">
              <w:rPr>
                <w:rFonts w:ascii="Verdana" w:eastAsia="Times New Roman" w:hAnsi="Verdana" w:cs="Times New Roman"/>
                <w:color w:val="000000"/>
                <w:sz w:val="15"/>
                <w:szCs w:val="15"/>
              </w:rPr>
              <w:t>at the end of June 2017.</w:t>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u w:val="single"/>
              </w:rPr>
              <w:t>Current account </w:t>
            </w:r>
            <w:r w:rsidRPr="00D72C32">
              <w:rPr>
                <w:rFonts w:ascii="Verdana" w:eastAsia="Times New Roman" w:hAnsi="Verdana" w:cs="Times New Roman"/>
                <w:color w:val="000000"/>
                <w:sz w:val="15"/>
                <w:szCs w:val="15"/>
                <w:u w:val="single"/>
              </w:rPr>
              <w:br/>
            </w:r>
            <w:r w:rsidRPr="00D72C32">
              <w:rPr>
                <w:rFonts w:ascii="Verdana" w:eastAsia="Times New Roman" w:hAnsi="Verdana" w:cs="Times New Roman"/>
                <w:color w:val="000000"/>
                <w:sz w:val="15"/>
                <w:szCs w:val="15"/>
              </w:rPr>
              <w:t xml:space="preserve">Includes goods (merchandise), services (transportation, travel, insurance and other business), </w:t>
            </w:r>
            <w:r w:rsidR="009E55F4">
              <w:rPr>
                <w:rFonts w:ascii="Verdana" w:eastAsia="Times New Roman" w:hAnsi="Verdana" w:cs="Times New Roman"/>
                <w:color w:val="000000"/>
                <w:sz w:val="15"/>
                <w:szCs w:val="15"/>
              </w:rPr>
              <w:t>primary income (compensation of employees ,</w:t>
            </w:r>
            <w:r w:rsidRPr="00D72C32">
              <w:rPr>
                <w:rFonts w:ascii="Verdana" w:eastAsia="Times New Roman" w:hAnsi="Verdana" w:cs="Times New Roman"/>
                <w:color w:val="000000"/>
                <w:sz w:val="15"/>
                <w:szCs w:val="15"/>
              </w:rPr>
              <w:t xml:space="preserve">investment income other </w:t>
            </w:r>
            <w:r w:rsidR="009E55F4">
              <w:rPr>
                <w:rFonts w:ascii="Verdana" w:eastAsia="Times New Roman" w:hAnsi="Verdana" w:cs="Times New Roman"/>
                <w:color w:val="000000"/>
                <w:sz w:val="15"/>
                <w:szCs w:val="15"/>
              </w:rPr>
              <w:t>primary income</w:t>
            </w:r>
            <w:r w:rsidRPr="00D72C32">
              <w:rPr>
                <w:rFonts w:ascii="Verdana" w:eastAsia="Times New Roman" w:hAnsi="Verdana" w:cs="Times New Roman"/>
                <w:color w:val="000000"/>
                <w:sz w:val="15"/>
                <w:szCs w:val="15"/>
              </w:rPr>
              <w:t xml:space="preserve">), and </w:t>
            </w:r>
            <w:r w:rsidR="009E55F4">
              <w:rPr>
                <w:rFonts w:ascii="Verdana" w:eastAsia="Times New Roman" w:hAnsi="Verdana" w:cs="Times New Roman"/>
                <w:color w:val="000000"/>
                <w:sz w:val="15"/>
                <w:szCs w:val="15"/>
              </w:rPr>
              <w:t>secondary income</w:t>
            </w:r>
            <w:r w:rsidRPr="00D72C32">
              <w:rPr>
                <w:rFonts w:ascii="Verdana" w:eastAsia="Times New Roman" w:hAnsi="Verdana" w:cs="Times New Roman"/>
                <w:color w:val="000000"/>
                <w:sz w:val="15"/>
                <w:szCs w:val="15"/>
              </w:rPr>
              <w:t xml:space="preserve"> (government and</w:t>
            </w:r>
            <w:r w:rsidR="009E55F4">
              <w:rPr>
                <w:rFonts w:ascii="Verdana" w:eastAsia="Times New Roman" w:hAnsi="Verdana" w:cs="Times New Roman"/>
                <w:color w:val="000000"/>
                <w:sz w:val="15"/>
                <w:szCs w:val="15"/>
              </w:rPr>
              <w:t xml:space="preserve"> </w:t>
            </w:r>
            <w:r w:rsidR="009E55F4" w:rsidRPr="009E55F4">
              <w:rPr>
                <w:rFonts w:ascii="Verdana" w:eastAsia="Times New Roman" w:hAnsi="Verdana" w:cs="Times New Roman"/>
                <w:color w:val="000000"/>
                <w:sz w:val="15"/>
                <w:szCs w:val="15"/>
              </w:rPr>
              <w:t>Financial corporations, non-financial corporation, households and</w:t>
            </w:r>
            <w:r w:rsidR="00A22639">
              <w:t xml:space="preserve"> </w:t>
            </w:r>
            <w:r w:rsidR="00A22639" w:rsidRPr="00A22639">
              <w:rPr>
                <w:rFonts w:ascii="Verdana" w:eastAsia="Times New Roman" w:hAnsi="Verdana" w:cs="Times New Roman"/>
                <w:color w:val="000000"/>
                <w:sz w:val="15"/>
                <w:szCs w:val="15"/>
              </w:rPr>
              <w:t>Non-profit institutions serving households</w:t>
            </w:r>
            <w:r w:rsidR="009E55F4" w:rsidRPr="00A22639">
              <w:rPr>
                <w:rFonts w:ascii="Verdana" w:eastAsia="Times New Roman" w:hAnsi="Verdana" w:cs="Times New Roman"/>
                <w:color w:val="000000"/>
                <w:sz w:val="15"/>
                <w:szCs w:val="15"/>
              </w:rPr>
              <w:t xml:space="preserve"> </w:t>
            </w:r>
            <w:r w:rsidR="00422D4D" w:rsidRPr="00A22639">
              <w:rPr>
                <w:rFonts w:ascii="Verdana" w:eastAsia="Times New Roman" w:hAnsi="Verdana" w:cs="Times New Roman"/>
                <w:color w:val="000000"/>
                <w:sz w:val="15"/>
                <w:szCs w:val="15"/>
              </w:rPr>
              <w:t>(</w:t>
            </w:r>
            <w:r w:rsidR="009E55F4" w:rsidRPr="00A22639">
              <w:rPr>
                <w:rFonts w:ascii="Verdana" w:eastAsia="Times New Roman" w:hAnsi="Verdana" w:cs="Times New Roman"/>
                <w:color w:val="000000"/>
                <w:sz w:val="15"/>
                <w:szCs w:val="15"/>
              </w:rPr>
              <w:t>NPISHs</w:t>
            </w:r>
            <w:r w:rsidRPr="00A22639">
              <w:rPr>
                <w:rFonts w:ascii="Verdana" w:eastAsia="Times New Roman" w:hAnsi="Verdana" w:cs="Times New Roman"/>
                <w:color w:val="000000"/>
                <w:sz w:val="15"/>
                <w:szCs w:val="15"/>
              </w:rPr>
              <w:t>)</w:t>
            </w:r>
            <w:r w:rsidR="00A22639" w:rsidRPr="00A22639">
              <w:rPr>
                <w:rFonts w:ascii="Verdana" w:eastAsia="Times New Roman" w:hAnsi="Verdana" w:cs="Times New Roman"/>
                <w:color w:val="000000"/>
                <w:sz w:val="15"/>
                <w:szCs w:val="15"/>
              </w:rPr>
              <w:t>)</w:t>
            </w:r>
            <w:r w:rsidRPr="00A22639">
              <w:rPr>
                <w:rFonts w:ascii="Verdana" w:eastAsia="Times New Roman" w:hAnsi="Verdana" w:cs="Times New Roman"/>
                <w:color w:val="000000"/>
                <w:sz w:val="15"/>
                <w:szCs w:val="15"/>
              </w:rPr>
              <w:t>.</w:t>
            </w:r>
            <w:r w:rsidRPr="00D72C32">
              <w:rPr>
                <w:rFonts w:ascii="Verdana" w:eastAsia="Times New Roman" w:hAnsi="Verdana" w:cs="Times New Roman"/>
                <w:color w:val="000000"/>
                <w:sz w:val="15"/>
                <w:szCs w:val="15"/>
              </w:rPr>
              <w:t> </w:t>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u w:val="single"/>
              </w:rPr>
              <w:t>Capital account</w:t>
            </w:r>
            <w:r w:rsidRPr="00D72C32">
              <w:rPr>
                <w:rFonts w:ascii="Verdana" w:eastAsia="Times New Roman" w:hAnsi="Verdana" w:cs="Times New Roman"/>
                <w:color w:val="000000"/>
                <w:sz w:val="15"/>
                <w:szCs w:val="15"/>
                <w:u w:val="single"/>
              </w:rPr>
              <w:br/>
            </w:r>
            <w:r w:rsidRPr="00D72C32">
              <w:rPr>
                <w:rFonts w:ascii="Verdana" w:eastAsia="Times New Roman" w:hAnsi="Verdana" w:cs="Times New Roman"/>
                <w:color w:val="000000"/>
                <w:sz w:val="15"/>
                <w:szCs w:val="15"/>
              </w:rPr>
              <w:t>Consists mainly of transfers of aid (to general government</w:t>
            </w:r>
            <w:r w:rsidR="009E55F4">
              <w:rPr>
                <w:rFonts w:ascii="Verdana" w:eastAsia="Times New Roman" w:hAnsi="Verdana" w:cs="Times New Roman"/>
                <w:color w:val="000000"/>
                <w:sz w:val="15"/>
                <w:szCs w:val="15"/>
              </w:rPr>
              <w:t xml:space="preserve"> and </w:t>
            </w:r>
            <w:r w:rsidR="009E55F4" w:rsidRPr="009E55F4">
              <w:rPr>
                <w:rFonts w:ascii="Verdana" w:eastAsia="Times New Roman" w:hAnsi="Verdana" w:cs="Times New Roman"/>
                <w:color w:val="000000"/>
                <w:sz w:val="15"/>
                <w:szCs w:val="15"/>
              </w:rPr>
              <w:t>Financial corporations, non-financial corporation, households and NPISHs</w:t>
            </w:r>
            <w:r w:rsidRPr="00D72C32">
              <w:rPr>
                <w:rFonts w:ascii="Verdana" w:eastAsia="Times New Roman" w:hAnsi="Verdana" w:cs="Times New Roman"/>
                <w:color w:val="000000"/>
                <w:sz w:val="15"/>
                <w:szCs w:val="15"/>
              </w:rPr>
              <w:t xml:space="preserve">), which is linked to projects of capital in nature, and </w:t>
            </w:r>
            <w:r w:rsidR="009E55F4">
              <w:rPr>
                <w:rFonts w:ascii="Verdana" w:eastAsia="Times New Roman" w:hAnsi="Verdana" w:cs="Times New Roman"/>
                <w:color w:val="000000"/>
                <w:sz w:val="15"/>
                <w:szCs w:val="15"/>
              </w:rPr>
              <w:t>debt forgiveness.</w:t>
            </w: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u w:val="single"/>
              </w:rPr>
              <w:t>Financial account</w:t>
            </w:r>
            <w:r w:rsidRPr="00D72C32">
              <w:rPr>
                <w:rFonts w:ascii="Verdana" w:eastAsia="Times New Roman" w:hAnsi="Verdana" w:cs="Times New Roman"/>
                <w:color w:val="000000"/>
                <w:sz w:val="15"/>
                <w:szCs w:val="15"/>
                <w:u w:val="single"/>
              </w:rPr>
              <w:br/>
            </w:r>
            <w:r w:rsidRPr="00D72C32">
              <w:rPr>
                <w:rFonts w:ascii="Verdana" w:eastAsia="Times New Roman" w:hAnsi="Verdana" w:cs="Times New Roman"/>
                <w:color w:val="000000"/>
                <w:sz w:val="15"/>
                <w:szCs w:val="15"/>
              </w:rPr>
              <w:t>The financial account is divided into f</w:t>
            </w:r>
            <w:r w:rsidR="009E55F4">
              <w:rPr>
                <w:rFonts w:ascii="Verdana" w:eastAsia="Times New Roman" w:hAnsi="Verdana" w:cs="Times New Roman"/>
                <w:color w:val="000000"/>
                <w:sz w:val="15"/>
                <w:szCs w:val="15"/>
              </w:rPr>
              <w:t>ive</w:t>
            </w:r>
            <w:r w:rsidRPr="00D72C32">
              <w:rPr>
                <w:rFonts w:ascii="Verdana" w:eastAsia="Times New Roman" w:hAnsi="Verdana" w:cs="Times New Roman"/>
                <w:color w:val="000000"/>
                <w:sz w:val="15"/>
                <w:szCs w:val="15"/>
              </w:rPr>
              <w:t xml:space="preserve"> </w:t>
            </w:r>
            <w:r w:rsidR="009E55F4">
              <w:rPr>
                <w:rFonts w:ascii="Verdana" w:eastAsia="Times New Roman" w:hAnsi="Verdana" w:cs="Times New Roman"/>
                <w:color w:val="000000"/>
                <w:sz w:val="15"/>
                <w:szCs w:val="15"/>
              </w:rPr>
              <w:t>functional categories</w:t>
            </w:r>
            <w:r w:rsidRPr="00D72C32">
              <w:rPr>
                <w:rFonts w:ascii="Verdana" w:eastAsia="Times New Roman" w:hAnsi="Verdana" w:cs="Times New Roman"/>
                <w:color w:val="000000"/>
                <w:sz w:val="15"/>
                <w:szCs w:val="15"/>
              </w:rPr>
              <w:t xml:space="preserve">, namely, transactions in direct investment, portfolio investment, </w:t>
            </w:r>
            <w:r w:rsidR="009E55F4">
              <w:rPr>
                <w:rFonts w:ascii="Verdana" w:eastAsia="Times New Roman" w:hAnsi="Verdana" w:cs="Times New Roman"/>
                <w:color w:val="000000"/>
                <w:sz w:val="15"/>
                <w:szCs w:val="15"/>
              </w:rPr>
              <w:t xml:space="preserve">financial derivatives, </w:t>
            </w:r>
            <w:r w:rsidRPr="00D72C32">
              <w:rPr>
                <w:rFonts w:ascii="Verdana" w:eastAsia="Times New Roman" w:hAnsi="Verdana" w:cs="Times New Roman"/>
                <w:color w:val="000000"/>
                <w:sz w:val="15"/>
                <w:szCs w:val="15"/>
              </w:rPr>
              <w:t xml:space="preserve">other investment (short term and long term), and reserves assets. The reserve assets section includes </w:t>
            </w:r>
            <w:r w:rsidR="00422D4D" w:rsidRPr="00422D4D">
              <w:rPr>
                <w:rFonts w:ascii="Verdana" w:eastAsia="Times New Roman" w:hAnsi="Verdana" w:cs="Times New Roman"/>
                <w:color w:val="000000"/>
                <w:sz w:val="15"/>
                <w:szCs w:val="15"/>
              </w:rPr>
              <w:t>SDRs</w:t>
            </w:r>
            <w:r w:rsidRPr="00422D4D">
              <w:rPr>
                <w:rFonts w:ascii="Verdana" w:eastAsia="Times New Roman" w:hAnsi="Verdana" w:cs="Times New Roman"/>
                <w:color w:val="000000"/>
                <w:sz w:val="15"/>
                <w:szCs w:val="15"/>
              </w:rPr>
              <w:t>, reserve position of the Government in the Fund and Foreign exchange.</w:t>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u w:val="single"/>
              </w:rPr>
              <w:t>International Investment Position (IIP)</w:t>
            </w:r>
            <w:r w:rsidRPr="00D72C32">
              <w:rPr>
                <w:rFonts w:ascii="Verdana" w:eastAsia="Times New Roman" w:hAnsi="Verdana" w:cs="Times New Roman"/>
                <w:color w:val="000000"/>
                <w:sz w:val="15"/>
                <w:szCs w:val="15"/>
                <w:u w:val="single"/>
              </w:rPr>
              <w:br/>
            </w:r>
            <w:r w:rsidRPr="00D72C32">
              <w:rPr>
                <w:rFonts w:ascii="Verdana" w:eastAsia="Times New Roman" w:hAnsi="Verdana" w:cs="Times New Roman"/>
                <w:color w:val="000000"/>
                <w:sz w:val="15"/>
                <w:szCs w:val="15"/>
              </w:rPr>
              <w:t>The IIP is compiled from the received survey data and published together with the BOP on a quarterly and annual basis. Included are stock positions of reserve assets, direct investment, portfolio investment other investment.</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2.4 Basis for recording</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21" w:name="341000"/>
            <w:r w:rsidRPr="00D72C32">
              <w:rPr>
                <w:rFonts w:ascii="Verdana" w:eastAsia="Times New Roman" w:hAnsi="Verdana" w:cs="Times New Roman"/>
                <w:b/>
                <w:bCs/>
                <w:color w:val="0000FF"/>
                <w:sz w:val="15"/>
                <w:szCs w:val="15"/>
              </w:rPr>
              <w:t>2.4.1 Valuation</w:t>
            </w:r>
          </w:p>
          <w:bookmarkEnd w:id="21"/>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 data on balance of payments are mainly collected in Namibia dollars. However, in cases where data are reported in US dollars, these are converted to Namibia dollars by using average exchange rates of the conc</w:t>
            </w:r>
            <w:r w:rsidR="004E3F86">
              <w:rPr>
                <w:rFonts w:ascii="Verdana" w:eastAsia="Times New Roman" w:hAnsi="Verdana" w:cs="Times New Roman"/>
                <w:color w:val="000000"/>
                <w:sz w:val="15"/>
                <w:szCs w:val="15"/>
              </w:rPr>
              <w:t xml:space="preserve">erned months in that quarter or </w:t>
            </w:r>
            <w:r w:rsidRPr="00D72C32">
              <w:rPr>
                <w:rFonts w:ascii="Verdana" w:eastAsia="Times New Roman" w:hAnsi="Verdana" w:cs="Times New Roman"/>
                <w:color w:val="000000"/>
                <w:sz w:val="15"/>
                <w:szCs w:val="15"/>
              </w:rPr>
              <w:t>year. </w:t>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lastRenderedPageBreak/>
              <w:t>Exports and imports are valued at FOB with other transactions valued at market prices. Three methods of valuation are employed for the valuation of flows in the financial account, i.e. market value, net asset value, and company director's evaluation.</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22" w:name="34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2.4.2 Recording basis</w:t>
            </w:r>
          </w:p>
          <w:bookmarkEnd w:id="22"/>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This follows the guidelines of </w:t>
            </w:r>
            <w:r w:rsidRPr="00D72C32">
              <w:rPr>
                <w:rFonts w:ascii="Verdana" w:eastAsia="Times New Roman" w:hAnsi="Verdana" w:cs="Times New Roman"/>
                <w:i/>
                <w:iCs/>
                <w:color w:val="000000"/>
                <w:sz w:val="15"/>
                <w:szCs w:val="15"/>
              </w:rPr>
              <w:t>BPM</w:t>
            </w:r>
            <w:r w:rsidR="007E21B2">
              <w:rPr>
                <w:rFonts w:ascii="Verdana" w:eastAsia="Times New Roman" w:hAnsi="Verdana" w:cs="Times New Roman"/>
                <w:i/>
                <w:iCs/>
                <w:color w:val="000000"/>
                <w:sz w:val="15"/>
                <w:szCs w:val="15"/>
              </w:rPr>
              <w:t>6</w:t>
            </w:r>
            <w:r w:rsidRPr="00D72C32">
              <w:rPr>
                <w:rFonts w:ascii="Verdana" w:eastAsia="Times New Roman" w:hAnsi="Verdana" w:cs="Times New Roman"/>
                <w:color w:val="000000"/>
                <w:sz w:val="15"/>
                <w:szCs w:val="15"/>
              </w:rPr>
              <w:t>:</w:t>
            </w:r>
          </w:p>
          <w:p w:rsidR="00D72C32" w:rsidRPr="00D72C32" w:rsidRDefault="00D72C32" w:rsidP="00D72C32">
            <w:pPr>
              <w:numPr>
                <w:ilvl w:val="1"/>
                <w:numId w:val="1"/>
              </w:numPr>
              <w:spacing w:after="0" w:line="240" w:lineRule="auto"/>
              <w:ind w:left="1200" w:right="600"/>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Goods are recorded at the time of changing ownership (accrual basis).</w:t>
            </w:r>
            <w:r w:rsidR="00A33A06">
              <w:rPr>
                <w:rFonts w:ascii="Verdana" w:eastAsia="Times New Roman" w:hAnsi="Verdana" w:cs="Times New Roman"/>
                <w:color w:val="000000"/>
                <w:sz w:val="15"/>
                <w:szCs w:val="15"/>
              </w:rPr>
              <w:t xml:space="preserve"> </w:t>
            </w:r>
          </w:p>
          <w:p w:rsidR="00D72C32" w:rsidRPr="00D72C32" w:rsidRDefault="00D72C32" w:rsidP="00D72C32">
            <w:pPr>
              <w:numPr>
                <w:ilvl w:val="1"/>
                <w:numId w:val="1"/>
              </w:numPr>
              <w:spacing w:after="0" w:line="240" w:lineRule="auto"/>
              <w:ind w:left="1200" w:right="600"/>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Dividends are recorded when declared</w:t>
            </w:r>
          </w:p>
          <w:p w:rsidR="00D72C32" w:rsidRPr="00D72C32" w:rsidRDefault="00D72C32" w:rsidP="00D72C32">
            <w:pPr>
              <w:numPr>
                <w:ilvl w:val="1"/>
                <w:numId w:val="1"/>
              </w:numPr>
              <w:spacing w:after="0" w:line="240" w:lineRule="auto"/>
              <w:ind w:left="1200" w:right="600"/>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Services are recorded at the time the service is rendered.</w:t>
            </w:r>
          </w:p>
          <w:p w:rsidR="00D72C32" w:rsidRPr="00D72C32" w:rsidRDefault="00D72C32" w:rsidP="00D72C32">
            <w:pPr>
              <w:numPr>
                <w:ilvl w:val="1"/>
                <w:numId w:val="1"/>
              </w:numPr>
              <w:spacing w:after="0" w:line="240" w:lineRule="auto"/>
              <w:ind w:left="1200" w:right="600"/>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Arrears and financial transactions are recorded when transactions become due, but not when paid.</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23" w:name="343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2.4.3 Grossing/netting procedures</w:t>
            </w:r>
          </w:p>
          <w:bookmarkEnd w:id="23"/>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Data is recorded on gross basis.</w:t>
            </w:r>
          </w:p>
          <w:p w:rsidR="00D72C32" w:rsidRPr="00D72C32" w:rsidRDefault="00D72C32" w:rsidP="00D72C32">
            <w:pPr>
              <w:spacing w:after="0" w:line="240" w:lineRule="auto"/>
              <w:rPr>
                <w:rFonts w:ascii="Verdana" w:eastAsia="Times New Roman" w:hAnsi="Verdana" w:cs="Times New Roman"/>
                <w:color w:val="000000"/>
                <w:sz w:val="15"/>
                <w:szCs w:val="15"/>
              </w:rPr>
            </w:pPr>
          </w:p>
        </w:tc>
      </w:tr>
      <w:bookmarkEnd w:id="15"/>
      <w:tr w:rsidR="00D72C32" w:rsidRPr="00D72C32" w:rsidTr="00D72C32">
        <w:trPr>
          <w:jc w:val="center"/>
        </w:trPr>
        <w:tc>
          <w:tcPr>
            <w:tcW w:w="0" w:type="auto"/>
            <w:gridSpan w:val="2"/>
            <w:tcBorders>
              <w:top w:val="single" w:sz="6" w:space="0" w:color="7F7F7F"/>
              <w:left w:val="single" w:sz="6" w:space="0" w:color="7F7F7F"/>
              <w:bottom w:val="single" w:sz="6" w:space="0" w:color="7F7F7F"/>
              <w:right w:val="single" w:sz="6" w:space="0" w:color="7F7F7F"/>
            </w:tcBorders>
            <w:shd w:val="clear" w:color="auto" w:fill="E7E7FF"/>
            <w:tcMar>
              <w:top w:w="0" w:type="dxa"/>
              <w:left w:w="30" w:type="dxa"/>
              <w:bottom w:w="0" w:type="dxa"/>
              <w:right w:w="0" w:type="dxa"/>
            </w:tcMar>
            <w:hideMark/>
          </w:tcPr>
          <w:p w:rsidR="00D72C32" w:rsidRPr="00D72C32" w:rsidRDefault="00D72C32" w:rsidP="00D72C32">
            <w:pPr>
              <w:spacing w:after="0" w:line="240" w:lineRule="auto"/>
              <w:jc w:val="center"/>
              <w:rPr>
                <w:rFonts w:ascii="Verdana" w:eastAsia="Times New Roman" w:hAnsi="Verdana" w:cs="Times New Roman"/>
                <w:b/>
                <w:bCs/>
                <w:color w:val="0000FF"/>
                <w:sz w:val="21"/>
                <w:szCs w:val="21"/>
              </w:rPr>
            </w:pPr>
            <w:r w:rsidRPr="00D72C32">
              <w:rPr>
                <w:rFonts w:ascii="Verdana" w:eastAsia="Times New Roman" w:hAnsi="Verdana" w:cs="Times New Roman"/>
                <w:b/>
                <w:bCs/>
                <w:color w:val="0000FF"/>
                <w:sz w:val="21"/>
                <w:szCs w:val="21"/>
              </w:rPr>
              <w:lastRenderedPageBreak/>
              <w:t>3. Accuracy and reliability</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bookmarkStart w:id="24" w:name="400000" w:colFirst="0" w:colLast="0"/>
            <w:r w:rsidRPr="00D72C32">
              <w:rPr>
                <w:rFonts w:ascii="Verdana" w:eastAsia="Times New Roman" w:hAnsi="Verdana" w:cs="Times New Roman"/>
                <w:b/>
                <w:bCs/>
                <w:color w:val="0000FF"/>
                <w:sz w:val="15"/>
                <w:szCs w:val="15"/>
              </w:rPr>
              <w:t>3.1 Source data</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25" w:name="411000"/>
            <w:r w:rsidRPr="00D72C32">
              <w:rPr>
                <w:rFonts w:ascii="Verdana" w:eastAsia="Times New Roman" w:hAnsi="Verdana" w:cs="Times New Roman"/>
                <w:b/>
                <w:bCs/>
                <w:color w:val="0000FF"/>
                <w:sz w:val="15"/>
                <w:szCs w:val="15"/>
              </w:rPr>
              <w:t>3.1.1 Source data collection programs</w:t>
            </w:r>
          </w:p>
          <w:bookmarkEnd w:id="25"/>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 data sources for the different components of the balance of payments are listed below. </w:t>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br/>
            </w:r>
            <w:r w:rsidRPr="00D72C32">
              <w:rPr>
                <w:rFonts w:ascii="Verdana" w:eastAsia="Times New Roman" w:hAnsi="Verdana" w:cs="Times New Roman"/>
                <w:i/>
                <w:iCs/>
                <w:color w:val="000000"/>
                <w:sz w:val="15"/>
                <w:szCs w:val="15"/>
                <w:u w:val="single"/>
              </w:rPr>
              <w:t>Goods</w:t>
            </w:r>
            <w:r w:rsidRPr="00D72C32">
              <w:rPr>
                <w:rFonts w:ascii="Verdana" w:eastAsia="Times New Roman" w:hAnsi="Verdana" w:cs="Times New Roman"/>
                <w:color w:val="000000"/>
                <w:sz w:val="15"/>
                <w:szCs w:val="15"/>
                <w:u w:val="single"/>
              </w:rPr>
              <w:br/>
            </w:r>
            <w:r w:rsidRPr="00D72C32">
              <w:rPr>
                <w:rFonts w:ascii="Verdana" w:eastAsia="Times New Roman" w:hAnsi="Verdana" w:cs="Times New Roman"/>
                <w:color w:val="000000"/>
                <w:sz w:val="15"/>
                <w:szCs w:val="15"/>
              </w:rPr>
              <w:t xml:space="preserve">Imports CIF data are obtained from the NSA, which receives it from the Customs and Excise Department at the Ministry of Finance. </w:t>
            </w:r>
            <w:r w:rsidRPr="00422D4D">
              <w:rPr>
                <w:rFonts w:ascii="Verdana" w:eastAsia="Times New Roman" w:hAnsi="Verdana" w:cs="Times New Roman"/>
                <w:color w:val="000000"/>
                <w:sz w:val="15"/>
                <w:szCs w:val="15"/>
              </w:rPr>
              <w:t xml:space="preserve">Export </w:t>
            </w:r>
            <w:r w:rsidR="00A33A06" w:rsidRPr="00422D4D">
              <w:rPr>
                <w:rFonts w:ascii="Verdana" w:eastAsia="Times New Roman" w:hAnsi="Verdana" w:cs="Times New Roman"/>
                <w:color w:val="000000"/>
                <w:sz w:val="15"/>
                <w:szCs w:val="15"/>
              </w:rPr>
              <w:t xml:space="preserve">FOB </w:t>
            </w:r>
            <w:r w:rsidRPr="00422D4D">
              <w:rPr>
                <w:rFonts w:ascii="Verdana" w:eastAsia="Times New Roman" w:hAnsi="Verdana" w:cs="Times New Roman"/>
                <w:color w:val="000000"/>
                <w:sz w:val="15"/>
                <w:szCs w:val="15"/>
              </w:rPr>
              <w:t>data are</w:t>
            </w:r>
            <w:r w:rsidR="00A33A06" w:rsidRPr="00422D4D">
              <w:rPr>
                <w:rFonts w:ascii="Verdana" w:eastAsia="Times New Roman" w:hAnsi="Verdana" w:cs="Times New Roman"/>
                <w:color w:val="000000"/>
                <w:sz w:val="15"/>
                <w:szCs w:val="15"/>
              </w:rPr>
              <w:t xml:space="preserve"> also obtained </w:t>
            </w:r>
            <w:r w:rsidR="00422D4D" w:rsidRPr="00422D4D">
              <w:rPr>
                <w:rFonts w:ascii="Verdana" w:eastAsia="Times New Roman" w:hAnsi="Verdana" w:cs="Times New Roman"/>
                <w:color w:val="000000"/>
                <w:sz w:val="15"/>
                <w:szCs w:val="15"/>
              </w:rPr>
              <w:t xml:space="preserve">mainly </w:t>
            </w:r>
            <w:r w:rsidR="00A33A06" w:rsidRPr="00422D4D">
              <w:rPr>
                <w:rFonts w:ascii="Verdana" w:eastAsia="Times New Roman" w:hAnsi="Verdana" w:cs="Times New Roman"/>
                <w:color w:val="000000"/>
                <w:sz w:val="15"/>
                <w:szCs w:val="15"/>
              </w:rPr>
              <w:t xml:space="preserve">from the NSA </w:t>
            </w:r>
            <w:r w:rsidR="00422D4D">
              <w:rPr>
                <w:rFonts w:ascii="Verdana" w:eastAsia="Times New Roman" w:hAnsi="Verdana" w:cs="Times New Roman"/>
                <w:color w:val="000000"/>
                <w:sz w:val="15"/>
                <w:szCs w:val="15"/>
              </w:rPr>
              <w:t>and other administrative records</w:t>
            </w:r>
            <w:r w:rsidR="00A33A06" w:rsidRPr="00422D4D">
              <w:rPr>
                <w:rFonts w:ascii="Verdana" w:eastAsia="Times New Roman" w:hAnsi="Verdana" w:cs="Times New Roman"/>
                <w:color w:val="000000"/>
                <w:sz w:val="15"/>
                <w:szCs w:val="15"/>
              </w:rPr>
              <w:t>.</w:t>
            </w:r>
            <w:r w:rsidR="00A33A06">
              <w:rPr>
                <w:rFonts w:ascii="Verdana" w:eastAsia="Times New Roman" w:hAnsi="Verdana" w:cs="Times New Roman"/>
                <w:color w:val="000000"/>
                <w:sz w:val="15"/>
                <w:szCs w:val="15"/>
              </w:rPr>
              <w:t xml:space="preserve"> </w:t>
            </w:r>
            <w:r w:rsidRPr="00D72C32">
              <w:rPr>
                <w:rFonts w:ascii="Verdana" w:eastAsia="Times New Roman" w:hAnsi="Verdana" w:cs="Times New Roman"/>
                <w:color w:val="000000"/>
                <w:sz w:val="15"/>
                <w:szCs w:val="15"/>
              </w:rPr>
              <w:t xml:space="preserve">Import figures are captured CIF and then adjusted to FOB with adjustments of </w:t>
            </w:r>
            <w:r w:rsidRPr="00422D4D">
              <w:rPr>
                <w:rFonts w:ascii="Verdana" w:eastAsia="Times New Roman" w:hAnsi="Verdana" w:cs="Times New Roman"/>
                <w:color w:val="000000"/>
                <w:sz w:val="15"/>
                <w:szCs w:val="15"/>
              </w:rPr>
              <w:t>7.6 percent for freight and 0.85 percent for insurance</w:t>
            </w:r>
            <w:r w:rsidR="00A33A06">
              <w:rPr>
                <w:rFonts w:ascii="Verdana" w:eastAsia="Times New Roman" w:hAnsi="Verdana" w:cs="Times New Roman"/>
                <w:color w:val="000000"/>
                <w:sz w:val="15"/>
                <w:szCs w:val="15"/>
              </w:rPr>
              <w:t xml:space="preserve"> on commodities sourced from outside bordering/neighboring countries</w:t>
            </w:r>
            <w:r w:rsidRPr="00D72C32">
              <w:rPr>
                <w:rFonts w:ascii="Verdana" w:eastAsia="Times New Roman" w:hAnsi="Verdana" w:cs="Times New Roman"/>
                <w:color w:val="000000"/>
                <w:sz w:val="15"/>
                <w:szCs w:val="15"/>
              </w:rPr>
              <w:t>.</w:t>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br/>
            </w:r>
            <w:r w:rsidRPr="00D72C32">
              <w:rPr>
                <w:rFonts w:ascii="Verdana" w:eastAsia="Times New Roman" w:hAnsi="Verdana" w:cs="Times New Roman"/>
                <w:i/>
                <w:iCs/>
                <w:color w:val="000000"/>
                <w:sz w:val="15"/>
                <w:szCs w:val="15"/>
                <w:u w:val="single"/>
              </w:rPr>
              <w:t>Services: </w:t>
            </w:r>
            <w:r w:rsidRPr="00D72C32">
              <w:rPr>
                <w:rFonts w:ascii="Verdana" w:eastAsia="Times New Roman" w:hAnsi="Verdana" w:cs="Times New Roman"/>
                <w:color w:val="000000"/>
                <w:sz w:val="15"/>
                <w:szCs w:val="15"/>
                <w:u w:val="single"/>
              </w:rPr>
              <w:br/>
            </w:r>
            <w:r w:rsidRPr="00D72C32">
              <w:rPr>
                <w:rFonts w:ascii="Verdana" w:eastAsia="Times New Roman" w:hAnsi="Verdana" w:cs="Times New Roman"/>
                <w:color w:val="000000"/>
                <w:sz w:val="15"/>
                <w:szCs w:val="15"/>
              </w:rPr>
              <w:t>Travel </w:t>
            </w:r>
            <w:r w:rsidRPr="00D72C32">
              <w:rPr>
                <w:rFonts w:ascii="Verdana" w:eastAsia="Times New Roman" w:hAnsi="Verdana" w:cs="Times New Roman"/>
                <w:color w:val="000000"/>
                <w:sz w:val="15"/>
                <w:szCs w:val="15"/>
              </w:rPr>
              <w:br/>
              <w:t xml:space="preserve">These data are currently estimated using the domestic arrival numbers for tourists to compute an estimated expenditure. </w:t>
            </w:r>
            <w:r w:rsidR="00735529">
              <w:rPr>
                <w:rFonts w:ascii="Verdana" w:eastAsia="Times New Roman" w:hAnsi="Verdana" w:cs="Times New Roman"/>
                <w:color w:val="000000"/>
                <w:sz w:val="15"/>
                <w:szCs w:val="15"/>
              </w:rPr>
              <w:t>Estimates for travel</w:t>
            </w:r>
            <w:r w:rsidRPr="00D72C32">
              <w:rPr>
                <w:rFonts w:ascii="Verdana" w:eastAsia="Times New Roman" w:hAnsi="Verdana" w:cs="Times New Roman"/>
                <w:color w:val="000000"/>
                <w:sz w:val="15"/>
                <w:szCs w:val="15"/>
              </w:rPr>
              <w:t xml:space="preserve"> services </w:t>
            </w:r>
            <w:r w:rsidR="00735529">
              <w:rPr>
                <w:rFonts w:ascii="Verdana" w:eastAsia="Times New Roman" w:hAnsi="Verdana" w:cs="Times New Roman"/>
                <w:color w:val="000000"/>
                <w:sz w:val="15"/>
                <w:szCs w:val="15"/>
              </w:rPr>
              <w:t>are also</w:t>
            </w:r>
            <w:r w:rsidRPr="00D72C32">
              <w:rPr>
                <w:rFonts w:ascii="Verdana" w:eastAsia="Times New Roman" w:hAnsi="Verdana" w:cs="Times New Roman"/>
                <w:color w:val="000000"/>
                <w:sz w:val="15"/>
                <w:szCs w:val="15"/>
              </w:rPr>
              <w:t xml:space="preserve"> supplemented by data from the ITRS.</w:t>
            </w: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Transportation</w:t>
            </w:r>
            <w:r w:rsidRPr="00D72C32">
              <w:rPr>
                <w:rFonts w:ascii="Verdana" w:eastAsia="Times New Roman" w:hAnsi="Verdana" w:cs="Times New Roman"/>
                <w:color w:val="000000"/>
                <w:sz w:val="15"/>
                <w:szCs w:val="15"/>
              </w:rPr>
              <w:br/>
              <w:t>Estimate of transportation is calculated as a ratio to trade data. </w:t>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br/>
              <w:t>Other services (</w:t>
            </w:r>
            <w:r w:rsidR="000D0F5A">
              <w:rPr>
                <w:rFonts w:ascii="Verdana" w:eastAsia="Times New Roman" w:hAnsi="Verdana" w:cs="Times New Roman"/>
                <w:color w:val="000000"/>
                <w:sz w:val="15"/>
                <w:szCs w:val="15"/>
              </w:rPr>
              <w:t>construction,</w:t>
            </w:r>
            <w:r w:rsidRPr="00D72C32">
              <w:rPr>
                <w:rFonts w:ascii="Verdana" w:eastAsia="Times New Roman" w:hAnsi="Verdana" w:cs="Times New Roman"/>
                <w:color w:val="000000"/>
                <w:sz w:val="15"/>
                <w:szCs w:val="15"/>
              </w:rPr>
              <w:t xml:space="preserve"> insurance</w:t>
            </w:r>
            <w:r w:rsidR="000D0F5A">
              <w:rPr>
                <w:rFonts w:ascii="Verdana" w:eastAsia="Times New Roman" w:hAnsi="Verdana" w:cs="Times New Roman"/>
                <w:color w:val="000000"/>
                <w:sz w:val="15"/>
                <w:szCs w:val="15"/>
              </w:rPr>
              <w:t xml:space="preserve"> and pension</w:t>
            </w:r>
            <w:r w:rsidRPr="00D72C32">
              <w:rPr>
                <w:rFonts w:ascii="Verdana" w:eastAsia="Times New Roman" w:hAnsi="Verdana" w:cs="Times New Roman"/>
                <w:color w:val="000000"/>
                <w:sz w:val="15"/>
                <w:szCs w:val="15"/>
              </w:rPr>
              <w:t>,</w:t>
            </w:r>
            <w:r w:rsidR="000D0F5A">
              <w:rPr>
                <w:rFonts w:ascii="Verdana" w:eastAsia="Times New Roman" w:hAnsi="Verdana" w:cs="Times New Roman"/>
                <w:color w:val="000000"/>
                <w:sz w:val="15"/>
                <w:szCs w:val="15"/>
              </w:rPr>
              <w:t xml:space="preserve"> </w:t>
            </w:r>
            <w:r w:rsidRPr="00D72C32">
              <w:rPr>
                <w:rFonts w:ascii="Verdana" w:eastAsia="Times New Roman" w:hAnsi="Verdana" w:cs="Times New Roman"/>
                <w:color w:val="000000"/>
                <w:sz w:val="15"/>
                <w:szCs w:val="15"/>
              </w:rPr>
              <w:t xml:space="preserve">financial, computer, </w:t>
            </w:r>
            <w:r w:rsidR="000D0F5A">
              <w:rPr>
                <w:rFonts w:ascii="Verdana" w:eastAsia="Times New Roman" w:hAnsi="Verdana" w:cs="Times New Roman"/>
                <w:color w:val="000000"/>
                <w:sz w:val="15"/>
                <w:szCs w:val="15"/>
              </w:rPr>
              <w:t>charges for the use of i</w:t>
            </w:r>
            <w:r w:rsidR="000D0F5A" w:rsidRPr="000D0F5A">
              <w:rPr>
                <w:rFonts w:ascii="Verdana" w:eastAsia="Times New Roman" w:hAnsi="Verdana" w:cs="Times New Roman"/>
                <w:color w:val="000000"/>
                <w:sz w:val="15"/>
                <w:szCs w:val="15"/>
              </w:rPr>
              <w:t xml:space="preserve">ntellectual </w:t>
            </w:r>
            <w:r w:rsidR="000D0F5A">
              <w:rPr>
                <w:rFonts w:ascii="Verdana" w:eastAsia="Times New Roman" w:hAnsi="Verdana" w:cs="Times New Roman"/>
                <w:color w:val="000000"/>
                <w:sz w:val="15"/>
                <w:szCs w:val="15"/>
              </w:rPr>
              <w:t>p</w:t>
            </w:r>
            <w:r w:rsidR="000D0F5A" w:rsidRPr="000D0F5A">
              <w:rPr>
                <w:rFonts w:ascii="Verdana" w:eastAsia="Times New Roman" w:hAnsi="Verdana" w:cs="Times New Roman"/>
                <w:color w:val="000000"/>
                <w:sz w:val="15"/>
                <w:szCs w:val="15"/>
              </w:rPr>
              <w:t>roperty</w:t>
            </w:r>
            <w:r w:rsidR="000D0F5A">
              <w:rPr>
                <w:rFonts w:ascii="Verdana" w:eastAsia="Times New Roman" w:hAnsi="Verdana" w:cs="Times New Roman"/>
                <w:color w:val="000000"/>
                <w:sz w:val="15"/>
                <w:szCs w:val="15"/>
              </w:rPr>
              <w:t>, telecommunications, computer &amp; i</w:t>
            </w:r>
            <w:r w:rsidR="000D0F5A" w:rsidRPr="000D0F5A">
              <w:rPr>
                <w:rFonts w:ascii="Verdana" w:eastAsia="Times New Roman" w:hAnsi="Verdana" w:cs="Times New Roman"/>
                <w:color w:val="000000"/>
                <w:sz w:val="15"/>
                <w:szCs w:val="15"/>
              </w:rPr>
              <w:t>nformation</w:t>
            </w:r>
            <w:r w:rsidRPr="00D72C32">
              <w:rPr>
                <w:rFonts w:ascii="Verdana" w:eastAsia="Times New Roman" w:hAnsi="Verdana" w:cs="Times New Roman"/>
                <w:color w:val="000000"/>
                <w:sz w:val="15"/>
                <w:szCs w:val="15"/>
              </w:rPr>
              <w:t>;</w:t>
            </w:r>
            <w:r w:rsidR="000D0F5A">
              <w:t xml:space="preserve"> </w:t>
            </w:r>
            <w:r w:rsidR="000D0F5A">
              <w:rPr>
                <w:rFonts w:ascii="Verdana" w:eastAsia="Times New Roman" w:hAnsi="Verdana" w:cs="Times New Roman"/>
                <w:color w:val="000000"/>
                <w:sz w:val="15"/>
                <w:szCs w:val="15"/>
              </w:rPr>
              <w:t>other b</w:t>
            </w:r>
            <w:r w:rsidR="000D0F5A" w:rsidRPr="000D0F5A">
              <w:rPr>
                <w:rFonts w:ascii="Verdana" w:eastAsia="Times New Roman" w:hAnsi="Verdana" w:cs="Times New Roman"/>
                <w:color w:val="000000"/>
                <w:sz w:val="15"/>
                <w:szCs w:val="15"/>
              </w:rPr>
              <w:t xml:space="preserve">usiness </w:t>
            </w:r>
            <w:r w:rsidR="000D0F5A">
              <w:rPr>
                <w:rFonts w:ascii="Verdana" w:eastAsia="Times New Roman" w:hAnsi="Verdana" w:cs="Times New Roman"/>
                <w:color w:val="000000"/>
                <w:sz w:val="15"/>
                <w:szCs w:val="15"/>
              </w:rPr>
              <w:t>s</w:t>
            </w:r>
            <w:r w:rsidR="000D0F5A" w:rsidRPr="000D0F5A">
              <w:rPr>
                <w:rFonts w:ascii="Verdana" w:eastAsia="Times New Roman" w:hAnsi="Verdana" w:cs="Times New Roman"/>
                <w:color w:val="000000"/>
                <w:sz w:val="15"/>
                <w:szCs w:val="15"/>
              </w:rPr>
              <w:t>ervices</w:t>
            </w:r>
            <w:r w:rsidR="000D0F5A">
              <w:rPr>
                <w:rFonts w:ascii="Verdana" w:eastAsia="Times New Roman" w:hAnsi="Verdana" w:cs="Times New Roman"/>
                <w:color w:val="000000"/>
                <w:sz w:val="15"/>
                <w:szCs w:val="15"/>
              </w:rPr>
              <w:t>, personal, cultural &amp; recreational s</w:t>
            </w:r>
            <w:r w:rsidR="000D0F5A" w:rsidRPr="000D0F5A">
              <w:rPr>
                <w:rFonts w:ascii="Verdana" w:eastAsia="Times New Roman" w:hAnsi="Verdana" w:cs="Times New Roman"/>
                <w:color w:val="000000"/>
                <w:sz w:val="15"/>
                <w:szCs w:val="15"/>
              </w:rPr>
              <w:t>ervices</w:t>
            </w:r>
            <w:r w:rsidRPr="00D72C32">
              <w:rPr>
                <w:rFonts w:ascii="Verdana" w:eastAsia="Times New Roman" w:hAnsi="Verdana" w:cs="Times New Roman"/>
                <w:color w:val="000000"/>
                <w:sz w:val="15"/>
                <w:szCs w:val="15"/>
              </w:rPr>
              <w:t xml:space="preserve"> </w:t>
            </w:r>
            <w:r w:rsidR="000D0F5A">
              <w:rPr>
                <w:rFonts w:ascii="Verdana" w:eastAsia="Times New Roman" w:hAnsi="Verdana" w:cs="Times New Roman"/>
                <w:color w:val="000000"/>
                <w:sz w:val="15"/>
                <w:szCs w:val="15"/>
              </w:rPr>
              <w:t>and government  s</w:t>
            </w:r>
            <w:r w:rsidR="000D0F5A" w:rsidRPr="000D0F5A">
              <w:rPr>
                <w:rFonts w:ascii="Verdana" w:eastAsia="Times New Roman" w:hAnsi="Verdana" w:cs="Times New Roman"/>
                <w:color w:val="000000"/>
                <w:sz w:val="15"/>
                <w:szCs w:val="15"/>
              </w:rPr>
              <w:t>ervices, N.I.E</w:t>
            </w:r>
            <w:r w:rsidRPr="00D72C32">
              <w:rPr>
                <w:rFonts w:ascii="Verdana" w:eastAsia="Times New Roman" w:hAnsi="Verdana" w:cs="Times New Roman"/>
                <w:color w:val="000000"/>
                <w:sz w:val="15"/>
                <w:szCs w:val="15"/>
              </w:rPr>
              <w:t>) are based on administration records</w:t>
            </w:r>
            <w:r w:rsidR="00735529">
              <w:rPr>
                <w:rFonts w:ascii="Verdana" w:eastAsia="Times New Roman" w:hAnsi="Verdana" w:cs="Times New Roman"/>
                <w:color w:val="000000"/>
                <w:sz w:val="15"/>
                <w:szCs w:val="15"/>
              </w:rPr>
              <w:t>, ITRS</w:t>
            </w:r>
            <w:r w:rsidRPr="00D72C32">
              <w:rPr>
                <w:rFonts w:ascii="Verdana" w:eastAsia="Times New Roman" w:hAnsi="Verdana" w:cs="Times New Roman"/>
                <w:color w:val="000000"/>
                <w:sz w:val="15"/>
                <w:szCs w:val="15"/>
              </w:rPr>
              <w:t xml:space="preserve"> and surveys, but occasionally adjusted by the Bank of Namibia for non-response.</w:t>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br/>
            </w:r>
            <w:r w:rsidR="00436E5A">
              <w:rPr>
                <w:rFonts w:ascii="Verdana" w:eastAsia="Times New Roman" w:hAnsi="Verdana" w:cs="Times New Roman"/>
                <w:i/>
                <w:iCs/>
                <w:color w:val="000000"/>
                <w:sz w:val="15"/>
                <w:szCs w:val="15"/>
                <w:u w:val="single"/>
              </w:rPr>
              <w:t xml:space="preserve">Primary </w:t>
            </w:r>
            <w:r w:rsidRPr="00D72C32">
              <w:rPr>
                <w:rFonts w:ascii="Verdana" w:eastAsia="Times New Roman" w:hAnsi="Verdana" w:cs="Times New Roman"/>
                <w:i/>
                <w:iCs/>
                <w:color w:val="000000"/>
                <w:sz w:val="15"/>
                <w:szCs w:val="15"/>
                <w:u w:val="single"/>
              </w:rPr>
              <w:t>Income:</w:t>
            </w:r>
            <w:r w:rsidRPr="00D72C32">
              <w:rPr>
                <w:rFonts w:ascii="Verdana" w:eastAsia="Times New Roman" w:hAnsi="Verdana" w:cs="Times New Roman"/>
                <w:color w:val="000000"/>
                <w:sz w:val="15"/>
                <w:szCs w:val="15"/>
                <w:u w:val="single"/>
              </w:rPr>
              <w:br/>
            </w:r>
            <w:r w:rsidR="00436E5A">
              <w:rPr>
                <w:rFonts w:ascii="Verdana" w:eastAsia="Times New Roman" w:hAnsi="Verdana" w:cs="Times New Roman"/>
                <w:color w:val="000000"/>
                <w:sz w:val="15"/>
                <w:szCs w:val="15"/>
              </w:rPr>
              <w:t xml:space="preserve">Data for compensation of employees is </w:t>
            </w:r>
            <w:r w:rsidR="00436E5A" w:rsidRPr="00422D4D">
              <w:rPr>
                <w:rFonts w:ascii="Verdana" w:eastAsia="Times New Roman" w:hAnsi="Verdana" w:cs="Times New Roman"/>
                <w:color w:val="000000"/>
                <w:sz w:val="15"/>
                <w:szCs w:val="15"/>
              </w:rPr>
              <w:t xml:space="preserve">obtained </w:t>
            </w:r>
            <w:r w:rsidR="00511A1A" w:rsidRPr="00422D4D">
              <w:rPr>
                <w:rFonts w:ascii="Verdana" w:eastAsia="Times New Roman" w:hAnsi="Verdana" w:cs="Times New Roman"/>
                <w:color w:val="000000"/>
                <w:sz w:val="15"/>
                <w:szCs w:val="15"/>
              </w:rPr>
              <w:t>f</w:t>
            </w:r>
            <w:r w:rsidR="00436E5A" w:rsidRPr="00422D4D">
              <w:rPr>
                <w:rFonts w:ascii="Verdana" w:eastAsia="Times New Roman" w:hAnsi="Verdana" w:cs="Times New Roman"/>
                <w:color w:val="000000"/>
                <w:sz w:val="15"/>
                <w:szCs w:val="15"/>
              </w:rPr>
              <w:t>rom the</w:t>
            </w:r>
            <w:r w:rsidR="00436E5A">
              <w:rPr>
                <w:rFonts w:ascii="Verdana" w:eastAsia="Times New Roman" w:hAnsi="Verdana" w:cs="Times New Roman"/>
                <w:color w:val="000000"/>
                <w:sz w:val="15"/>
                <w:szCs w:val="15"/>
              </w:rPr>
              <w:t xml:space="preserve"> quarterly surveys and supplemented by the ITRS. </w:t>
            </w:r>
            <w:r w:rsidRPr="00D72C32">
              <w:rPr>
                <w:rFonts w:ascii="Verdana" w:eastAsia="Times New Roman" w:hAnsi="Verdana" w:cs="Times New Roman"/>
                <w:color w:val="000000"/>
                <w:sz w:val="15"/>
                <w:szCs w:val="15"/>
              </w:rPr>
              <w:t>The main source for</w:t>
            </w:r>
            <w:r w:rsidR="00436E5A">
              <w:rPr>
                <w:rFonts w:ascii="Verdana" w:eastAsia="Times New Roman" w:hAnsi="Verdana" w:cs="Times New Roman"/>
                <w:color w:val="000000"/>
                <w:sz w:val="15"/>
                <w:szCs w:val="15"/>
              </w:rPr>
              <w:t xml:space="preserve"> investment income on</w:t>
            </w:r>
            <w:r w:rsidRPr="00D72C32">
              <w:rPr>
                <w:rFonts w:ascii="Verdana" w:eastAsia="Times New Roman" w:hAnsi="Verdana" w:cs="Times New Roman"/>
                <w:color w:val="000000"/>
                <w:sz w:val="15"/>
                <w:szCs w:val="15"/>
              </w:rPr>
              <w:t xml:space="preserve"> direct investment income, portfolio investment income and other investment income is the </w:t>
            </w:r>
            <w:r w:rsidR="00436E5A">
              <w:rPr>
                <w:rFonts w:ascii="Verdana" w:eastAsia="Times New Roman" w:hAnsi="Verdana" w:cs="Times New Roman"/>
                <w:color w:val="000000"/>
                <w:sz w:val="15"/>
                <w:szCs w:val="15"/>
              </w:rPr>
              <w:t xml:space="preserve">quarterly </w:t>
            </w:r>
            <w:r w:rsidRPr="00D72C32">
              <w:rPr>
                <w:rFonts w:ascii="Verdana" w:eastAsia="Times New Roman" w:hAnsi="Verdana" w:cs="Times New Roman"/>
                <w:color w:val="000000"/>
                <w:sz w:val="15"/>
                <w:szCs w:val="15"/>
              </w:rPr>
              <w:t>enterprise survey of foreign own</w:t>
            </w:r>
            <w:r w:rsidR="00436E5A">
              <w:rPr>
                <w:rFonts w:ascii="Verdana" w:eastAsia="Times New Roman" w:hAnsi="Verdana" w:cs="Times New Roman"/>
                <w:color w:val="000000"/>
                <w:sz w:val="15"/>
                <w:szCs w:val="15"/>
              </w:rPr>
              <w:t>ed</w:t>
            </w:r>
            <w:r w:rsidRPr="00D72C32">
              <w:rPr>
                <w:rFonts w:ascii="Verdana" w:eastAsia="Times New Roman" w:hAnsi="Verdana" w:cs="Times New Roman"/>
                <w:color w:val="000000"/>
                <w:sz w:val="15"/>
                <w:szCs w:val="15"/>
              </w:rPr>
              <w:t xml:space="preserve"> companies, the depository corporations survey, and administrative records of the Bank of N</w:t>
            </w:r>
            <w:r w:rsidR="00436E5A">
              <w:rPr>
                <w:rFonts w:ascii="Verdana" w:eastAsia="Times New Roman" w:hAnsi="Verdana" w:cs="Times New Roman"/>
                <w:color w:val="000000"/>
                <w:sz w:val="15"/>
                <w:szCs w:val="15"/>
              </w:rPr>
              <w:t xml:space="preserve">amibia and Ministry of Finance. While income </w:t>
            </w:r>
            <w:r w:rsidR="00422D4D">
              <w:rPr>
                <w:rFonts w:ascii="Verdana" w:eastAsia="Times New Roman" w:hAnsi="Verdana" w:cs="Times New Roman"/>
                <w:color w:val="000000"/>
                <w:sz w:val="15"/>
                <w:szCs w:val="15"/>
              </w:rPr>
              <w:t>on reserves is obtained from BoN administrative records</w:t>
            </w:r>
            <w:r w:rsidR="00436E5A">
              <w:rPr>
                <w:rFonts w:ascii="Verdana" w:eastAsia="Times New Roman" w:hAnsi="Verdana" w:cs="Times New Roman"/>
                <w:color w:val="000000"/>
                <w:sz w:val="15"/>
                <w:szCs w:val="15"/>
              </w:rPr>
              <w:t xml:space="preserve">. </w:t>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br/>
            </w:r>
            <w:r w:rsidR="00436E5A">
              <w:rPr>
                <w:rFonts w:ascii="Verdana" w:eastAsia="Times New Roman" w:hAnsi="Verdana" w:cs="Times New Roman"/>
                <w:i/>
                <w:iCs/>
                <w:color w:val="000000"/>
                <w:sz w:val="15"/>
                <w:szCs w:val="15"/>
                <w:u w:val="single"/>
              </w:rPr>
              <w:t>Secondary Income</w:t>
            </w:r>
            <w:r w:rsidRPr="00D72C32">
              <w:rPr>
                <w:rFonts w:ascii="Verdana" w:eastAsia="Times New Roman" w:hAnsi="Verdana" w:cs="Times New Roman"/>
                <w:color w:val="000000"/>
                <w:sz w:val="15"/>
                <w:szCs w:val="15"/>
                <w:u w:val="single"/>
              </w:rPr>
              <w:br/>
            </w:r>
            <w:r w:rsidRPr="00D72C32">
              <w:rPr>
                <w:rFonts w:ascii="Verdana" w:eastAsia="Times New Roman" w:hAnsi="Verdana" w:cs="Times New Roman"/>
                <w:color w:val="000000"/>
                <w:sz w:val="15"/>
                <w:szCs w:val="15"/>
              </w:rPr>
              <w:t xml:space="preserve">Data on </w:t>
            </w:r>
            <w:r w:rsidR="00436E5A">
              <w:rPr>
                <w:rFonts w:ascii="Verdana" w:eastAsia="Times New Roman" w:hAnsi="Verdana" w:cs="Times New Roman"/>
                <w:color w:val="000000"/>
                <w:sz w:val="15"/>
                <w:szCs w:val="15"/>
              </w:rPr>
              <w:t>secondary income</w:t>
            </w:r>
            <w:r w:rsidRPr="00D72C32">
              <w:rPr>
                <w:rFonts w:ascii="Verdana" w:eastAsia="Times New Roman" w:hAnsi="Verdana" w:cs="Times New Roman"/>
                <w:color w:val="000000"/>
                <w:sz w:val="15"/>
                <w:szCs w:val="15"/>
              </w:rPr>
              <w:t xml:space="preserve"> are mainly obtained from the surveys on, non-governmental organizations (NGOs) and government records from </w:t>
            </w:r>
            <w:r w:rsidR="00511A1A" w:rsidRPr="00422D4D">
              <w:rPr>
                <w:rFonts w:ascii="Verdana" w:eastAsia="Times New Roman" w:hAnsi="Verdana" w:cs="Times New Roman"/>
                <w:color w:val="000000"/>
                <w:sz w:val="15"/>
                <w:szCs w:val="15"/>
              </w:rPr>
              <w:t>BoN</w:t>
            </w:r>
            <w:r w:rsidR="00511A1A">
              <w:rPr>
                <w:rFonts w:ascii="Verdana" w:eastAsia="Times New Roman" w:hAnsi="Verdana" w:cs="Times New Roman"/>
                <w:color w:val="000000"/>
                <w:sz w:val="15"/>
                <w:szCs w:val="15"/>
              </w:rPr>
              <w:t xml:space="preserve"> </w:t>
            </w:r>
            <w:r w:rsidR="00436E5A">
              <w:rPr>
                <w:rFonts w:ascii="Verdana" w:eastAsia="Times New Roman" w:hAnsi="Verdana" w:cs="Times New Roman"/>
                <w:color w:val="000000"/>
                <w:sz w:val="15"/>
                <w:szCs w:val="15"/>
              </w:rPr>
              <w:t>and NPC</w:t>
            </w:r>
            <w:r w:rsidRPr="00D72C32">
              <w:rPr>
                <w:rFonts w:ascii="Verdana" w:eastAsia="Times New Roman" w:hAnsi="Verdana" w:cs="Times New Roman"/>
                <w:color w:val="000000"/>
                <w:sz w:val="15"/>
                <w:szCs w:val="15"/>
              </w:rPr>
              <w:t>. The ITRS is also a good source for a breakdown of grants for both government and NGOs.</w:t>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br/>
            </w:r>
            <w:r w:rsidRPr="00D72C32">
              <w:rPr>
                <w:rFonts w:ascii="Verdana" w:eastAsia="Times New Roman" w:hAnsi="Verdana" w:cs="Times New Roman"/>
                <w:i/>
                <w:color w:val="000000"/>
                <w:sz w:val="15"/>
                <w:szCs w:val="15"/>
                <w:u w:val="single"/>
              </w:rPr>
              <w:t>Capital Account:</w:t>
            </w:r>
            <w:r w:rsidRPr="00D72C32">
              <w:rPr>
                <w:rFonts w:ascii="Verdana" w:eastAsia="Times New Roman" w:hAnsi="Verdana" w:cs="Times New Roman"/>
                <w:color w:val="000000"/>
                <w:sz w:val="15"/>
                <w:szCs w:val="15"/>
              </w:rPr>
              <w:t> </w:t>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lastRenderedPageBreak/>
              <w:t>Main source of data for capital transfers are government administrative records and surveys of NGOs. The ITRS is also a good source for an analysis of capital transfers for both government and NGOs.</w:t>
            </w: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i/>
                <w:iCs/>
                <w:color w:val="000000"/>
                <w:sz w:val="15"/>
                <w:szCs w:val="15"/>
                <w:u w:val="single"/>
              </w:rPr>
              <w:t>Financial Account</w:t>
            </w:r>
            <w:r w:rsidRPr="00D72C32">
              <w:rPr>
                <w:rFonts w:ascii="Verdana" w:eastAsia="Times New Roman" w:hAnsi="Verdana" w:cs="Times New Roman"/>
                <w:color w:val="000000"/>
                <w:sz w:val="15"/>
                <w:szCs w:val="15"/>
                <w:u w:val="single"/>
              </w:rPr>
              <w:br/>
            </w:r>
            <w:r w:rsidRPr="00D72C32">
              <w:rPr>
                <w:rFonts w:ascii="Verdana" w:eastAsia="Times New Roman" w:hAnsi="Verdana" w:cs="Times New Roman"/>
                <w:color w:val="000000"/>
                <w:sz w:val="15"/>
                <w:szCs w:val="15"/>
              </w:rPr>
              <w:t>Direct investment in Namibia and abroad are obtained from surveys on foreign direct investment entities</w:t>
            </w:r>
            <w:r w:rsidR="00DD1D8B">
              <w:rPr>
                <w:rFonts w:ascii="Verdana" w:eastAsia="Times New Roman" w:hAnsi="Verdana" w:cs="Times New Roman"/>
                <w:color w:val="000000"/>
                <w:sz w:val="15"/>
                <w:szCs w:val="15"/>
              </w:rPr>
              <w:t xml:space="preserve"> and CDIS data from the IMF website</w:t>
            </w:r>
            <w:r w:rsidRPr="00D72C32">
              <w:rPr>
                <w:rFonts w:ascii="Verdana" w:eastAsia="Times New Roman" w:hAnsi="Verdana" w:cs="Times New Roman"/>
                <w:color w:val="000000"/>
                <w:sz w:val="15"/>
                <w:szCs w:val="15"/>
              </w:rPr>
              <w:t>. The survey collects flows and levels of foreign assets and liabilities at the beginning and end of each quarter, with separate information for equity, retained earnings and other capital.</w:t>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br/>
              <w:t xml:space="preserve">Portfolio investment into and by the private sector is partly collected through surveys of fund managers, while the other part is collected directly from the Monetary and Financial Section’s </w:t>
            </w:r>
            <w:r w:rsidRPr="00422D4D">
              <w:rPr>
                <w:rFonts w:ascii="Verdana" w:eastAsia="Times New Roman" w:hAnsi="Verdana" w:cs="Times New Roman"/>
                <w:color w:val="000000"/>
                <w:sz w:val="15"/>
                <w:szCs w:val="15"/>
              </w:rPr>
              <w:t xml:space="preserve">account within the Bank of Namibia on </w:t>
            </w:r>
            <w:r w:rsidR="00422D4D" w:rsidRPr="00422D4D">
              <w:rPr>
                <w:rFonts w:ascii="Verdana" w:eastAsia="Times New Roman" w:hAnsi="Verdana" w:cs="Times New Roman"/>
                <w:color w:val="000000"/>
                <w:sz w:val="15"/>
                <w:szCs w:val="15"/>
              </w:rPr>
              <w:t>Other Depository Corporations (</w:t>
            </w:r>
            <w:r w:rsidRPr="00422D4D">
              <w:rPr>
                <w:rFonts w:ascii="Verdana" w:eastAsia="Times New Roman" w:hAnsi="Verdana" w:cs="Times New Roman"/>
                <w:color w:val="000000"/>
                <w:sz w:val="15"/>
                <w:szCs w:val="15"/>
              </w:rPr>
              <w:t>ODCs</w:t>
            </w:r>
            <w:r w:rsidR="00422D4D" w:rsidRPr="00422D4D">
              <w:rPr>
                <w:rFonts w:ascii="Verdana" w:eastAsia="Times New Roman" w:hAnsi="Verdana" w:cs="Times New Roman"/>
                <w:color w:val="000000"/>
                <w:sz w:val="15"/>
                <w:szCs w:val="15"/>
              </w:rPr>
              <w:t>)</w:t>
            </w:r>
            <w:r w:rsidRPr="00D72C32">
              <w:rPr>
                <w:rFonts w:ascii="Verdana" w:eastAsia="Times New Roman" w:hAnsi="Verdana" w:cs="Times New Roman"/>
                <w:color w:val="000000"/>
                <w:sz w:val="15"/>
                <w:szCs w:val="15"/>
              </w:rPr>
              <w:t xml:space="preserve"> survey. </w:t>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br/>
              <w:t>Other investment information is collected through the BON surveys of enterprises, government departments, and MFS. </w:t>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br/>
              <w:t xml:space="preserve">Reserve assets are obtained from </w:t>
            </w:r>
            <w:r w:rsidRPr="00422D4D">
              <w:rPr>
                <w:rFonts w:ascii="Verdana" w:eastAsia="Times New Roman" w:hAnsi="Verdana" w:cs="Times New Roman"/>
                <w:color w:val="000000"/>
                <w:sz w:val="15"/>
                <w:szCs w:val="15"/>
              </w:rPr>
              <w:t>the Bank of Namibia's administrative records.</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26" w:name="41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3.1.2 Source data definitions, scope, classifications, valuation, and time of recording</w:t>
            </w:r>
          </w:p>
          <w:bookmarkEnd w:id="26"/>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 BOP data are broadly in line with the scope, classifications, valuation and time of recording required as per international practices.</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lastRenderedPageBreak/>
              <w:t>3.2 Assessment of source data</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27" w:name="421000"/>
            <w:r w:rsidRPr="00D72C32">
              <w:rPr>
                <w:rFonts w:ascii="Verdana" w:eastAsia="Times New Roman" w:hAnsi="Verdana" w:cs="Times New Roman"/>
                <w:b/>
                <w:bCs/>
                <w:color w:val="0000FF"/>
                <w:sz w:val="15"/>
                <w:szCs w:val="15"/>
              </w:rPr>
              <w:t>3.2.1 Source data assessment</w:t>
            </w:r>
          </w:p>
          <w:bookmarkEnd w:id="27"/>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Sample surveys are not being assessed over time, although new companies entering the market are captured through the media or through research and meetings with stakeholders. However, the BOP section plans to engage the Ministry of Trade and Industry to get an updated list of companies operating in the country for inclusion in the survey. </w:t>
            </w:r>
            <w:r w:rsidRPr="00804B58">
              <w:rPr>
                <w:rFonts w:ascii="Verdana" w:eastAsia="Times New Roman" w:hAnsi="Verdana" w:cs="Times New Roman"/>
                <w:color w:val="000000"/>
                <w:sz w:val="15"/>
                <w:szCs w:val="15"/>
              </w:rPr>
              <w:t>Dummy surveys for the non-responded companies based on their previous submitted data are in place and compiled with the rest of the received data, while follow up for actual data continues and once received, replacing the estimated data, which was based on the dummy surveys.</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3.3 Statistical techniques</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28" w:name="431000"/>
            <w:r w:rsidRPr="00D72C32">
              <w:rPr>
                <w:rFonts w:ascii="Verdana" w:eastAsia="Times New Roman" w:hAnsi="Verdana" w:cs="Times New Roman"/>
                <w:b/>
                <w:bCs/>
                <w:color w:val="0000FF"/>
                <w:sz w:val="15"/>
                <w:szCs w:val="15"/>
              </w:rPr>
              <w:t>3.3.1 Source data statistical techniques</w:t>
            </w:r>
          </w:p>
          <w:bookmarkEnd w:id="28"/>
          <w:p w:rsidR="00D72C32" w:rsidRPr="00D72C32" w:rsidRDefault="00D72C32" w:rsidP="00D72C32">
            <w:pPr>
              <w:spacing w:after="0" w:line="240" w:lineRule="auto"/>
              <w:rPr>
                <w:rFonts w:ascii="Verdana" w:eastAsia="Times New Roman" w:hAnsi="Verdana" w:cs="Times New Roman"/>
                <w:color w:val="000000"/>
                <w:sz w:val="15"/>
                <w:szCs w:val="15"/>
              </w:rPr>
            </w:pPr>
          </w:p>
          <w:p w:rsidR="00804B58"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Goods: </w:t>
            </w:r>
            <w:r w:rsidRPr="00D72C32">
              <w:rPr>
                <w:rFonts w:ascii="Verdana" w:eastAsia="Times New Roman" w:hAnsi="Verdana" w:cs="Times New Roman"/>
                <w:color w:val="000000"/>
                <w:sz w:val="15"/>
                <w:szCs w:val="15"/>
              </w:rPr>
              <w:br/>
              <w:t xml:space="preserve">The data obtained from the survey are crosschecked with the data on economic activities collected by the real sector section in the Research department. For example, data on mining, fishing and agriculture are always crosschecked among BOP, MFS and Real sector for consistency. The import figures are captured CIF and then adjusted to FOB. </w:t>
            </w:r>
            <w:r w:rsidR="000D0F5A">
              <w:rPr>
                <w:rFonts w:ascii="Verdana" w:eastAsia="Times New Roman" w:hAnsi="Verdana" w:cs="Times New Roman"/>
                <w:color w:val="000000"/>
                <w:sz w:val="15"/>
                <w:szCs w:val="15"/>
              </w:rPr>
              <w:t>T</w:t>
            </w:r>
            <w:r w:rsidR="00DD1D8B" w:rsidRPr="00D72C32">
              <w:rPr>
                <w:rFonts w:ascii="Verdana" w:eastAsia="Times New Roman" w:hAnsi="Verdana" w:cs="Times New Roman"/>
                <w:color w:val="000000"/>
                <w:sz w:val="15"/>
                <w:szCs w:val="15"/>
              </w:rPr>
              <w:t>he comple</w:t>
            </w:r>
            <w:r w:rsidR="00DD1D8B">
              <w:rPr>
                <w:rFonts w:ascii="Verdana" w:eastAsia="Times New Roman" w:hAnsi="Verdana" w:cs="Times New Roman"/>
                <w:color w:val="000000"/>
                <w:sz w:val="15"/>
                <w:szCs w:val="15"/>
              </w:rPr>
              <w:t xml:space="preserve">te data sets for merchandise </w:t>
            </w:r>
            <w:r w:rsidR="000D0F5A">
              <w:rPr>
                <w:rFonts w:ascii="Verdana" w:eastAsia="Times New Roman" w:hAnsi="Verdana" w:cs="Times New Roman"/>
                <w:color w:val="000000"/>
                <w:sz w:val="15"/>
                <w:szCs w:val="15"/>
              </w:rPr>
              <w:t xml:space="preserve">statistics </w:t>
            </w:r>
            <w:r w:rsidR="00DD1D8B">
              <w:rPr>
                <w:rFonts w:ascii="Verdana" w:eastAsia="Times New Roman" w:hAnsi="Verdana" w:cs="Times New Roman"/>
                <w:color w:val="000000"/>
                <w:sz w:val="15"/>
                <w:szCs w:val="15"/>
              </w:rPr>
              <w:t xml:space="preserve">is </w:t>
            </w:r>
            <w:r w:rsidRPr="00D72C32">
              <w:rPr>
                <w:rFonts w:ascii="Verdana" w:eastAsia="Times New Roman" w:hAnsi="Verdana" w:cs="Times New Roman"/>
                <w:color w:val="000000"/>
                <w:sz w:val="15"/>
                <w:szCs w:val="15"/>
              </w:rPr>
              <w:t xml:space="preserve">obtained from NSA. </w:t>
            </w: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br/>
            </w:r>
            <w:r w:rsidRPr="00D72C32">
              <w:rPr>
                <w:rFonts w:ascii="Verdana" w:eastAsia="Times New Roman" w:hAnsi="Verdana" w:cs="Times New Roman"/>
                <w:i/>
                <w:iCs/>
                <w:color w:val="000000"/>
                <w:sz w:val="15"/>
                <w:szCs w:val="15"/>
              </w:rPr>
              <w:t>Services: </w:t>
            </w:r>
            <w:r w:rsidRPr="00D72C32">
              <w:rPr>
                <w:rFonts w:ascii="Verdana" w:eastAsia="Times New Roman" w:hAnsi="Verdana" w:cs="Times New Roman"/>
                <w:color w:val="000000"/>
                <w:sz w:val="15"/>
                <w:szCs w:val="15"/>
              </w:rPr>
              <w:br/>
              <w:t>The data obtained from the surveys are also adjusted for non-response.</w:t>
            </w:r>
            <w:r w:rsidR="00DD1D8B">
              <w:rPr>
                <w:rFonts w:ascii="Verdana" w:eastAsia="Times New Roman" w:hAnsi="Verdana" w:cs="Times New Roman"/>
                <w:color w:val="000000"/>
                <w:sz w:val="15"/>
                <w:szCs w:val="15"/>
              </w:rPr>
              <w:t xml:space="preserve"> Data obtained from the ITRS is also adjusted should there be huge upswings and downswings with no particular factor to support the trend.</w:t>
            </w:r>
          </w:p>
          <w:p w:rsidR="00D72C32" w:rsidRPr="00D72C32" w:rsidRDefault="00DD1D8B" w:rsidP="00D72C32">
            <w:pPr>
              <w:spacing w:beforeAutospacing="1" w:after="0" w:afterAutospacing="1" w:line="240" w:lineRule="auto"/>
              <w:rPr>
                <w:rFonts w:ascii="Verdana" w:eastAsia="Times New Roman" w:hAnsi="Verdana" w:cs="Times New Roman"/>
                <w:color w:val="000000"/>
                <w:sz w:val="15"/>
                <w:szCs w:val="15"/>
              </w:rPr>
            </w:pPr>
            <w:r>
              <w:rPr>
                <w:rFonts w:ascii="Verdana" w:eastAsia="Times New Roman" w:hAnsi="Verdana" w:cs="Times New Roman"/>
                <w:i/>
                <w:iCs/>
                <w:color w:val="000000"/>
                <w:sz w:val="15"/>
                <w:szCs w:val="15"/>
              </w:rPr>
              <w:t>Secondary Income</w:t>
            </w:r>
            <w:r w:rsidR="00D72C32" w:rsidRPr="00D72C32">
              <w:rPr>
                <w:rFonts w:ascii="Verdana" w:eastAsia="Times New Roman" w:hAnsi="Verdana" w:cs="Times New Roman"/>
                <w:i/>
                <w:iCs/>
                <w:color w:val="000000"/>
                <w:sz w:val="15"/>
                <w:szCs w:val="15"/>
              </w:rPr>
              <w:t xml:space="preserve">, and Capital </w:t>
            </w:r>
            <w:r>
              <w:rPr>
                <w:rFonts w:ascii="Verdana" w:eastAsia="Times New Roman" w:hAnsi="Verdana" w:cs="Times New Roman"/>
                <w:i/>
                <w:iCs/>
                <w:color w:val="000000"/>
                <w:sz w:val="15"/>
                <w:szCs w:val="15"/>
              </w:rPr>
              <w:t>Account transfers</w:t>
            </w:r>
            <w:r w:rsidR="00D72C32" w:rsidRPr="00D72C32">
              <w:rPr>
                <w:rFonts w:ascii="Verdana" w:eastAsia="Times New Roman" w:hAnsi="Verdana" w:cs="Times New Roman"/>
                <w:i/>
                <w:iCs/>
                <w:color w:val="000000"/>
                <w:sz w:val="15"/>
                <w:szCs w:val="15"/>
              </w:rPr>
              <w:t>: </w:t>
            </w:r>
            <w:r w:rsidR="00D72C32" w:rsidRPr="00D72C32">
              <w:rPr>
                <w:rFonts w:ascii="Verdana" w:eastAsia="Times New Roman" w:hAnsi="Verdana" w:cs="Times New Roman"/>
                <w:color w:val="000000"/>
                <w:sz w:val="15"/>
                <w:szCs w:val="15"/>
              </w:rPr>
              <w:br/>
            </w:r>
            <w:r>
              <w:rPr>
                <w:rFonts w:ascii="Verdana" w:eastAsia="Times New Roman" w:hAnsi="Verdana" w:cs="Times New Roman"/>
                <w:color w:val="000000"/>
                <w:sz w:val="15"/>
                <w:szCs w:val="15"/>
              </w:rPr>
              <w:t>Data from NPC, ITRS, a</w:t>
            </w:r>
            <w:r w:rsidR="00D72C32" w:rsidRPr="00D72C32">
              <w:rPr>
                <w:rFonts w:ascii="Verdana" w:eastAsia="Times New Roman" w:hAnsi="Verdana" w:cs="Times New Roman"/>
                <w:color w:val="000000"/>
                <w:sz w:val="15"/>
                <w:szCs w:val="15"/>
              </w:rPr>
              <w:t>dministrative records of government and NGO’s surveys data are the main source for the data. However, data are grossed up for non-response. </w:t>
            </w:r>
            <w:r w:rsidR="00D72C32" w:rsidRPr="00D72C32">
              <w:rPr>
                <w:rFonts w:ascii="Verdana" w:eastAsia="Times New Roman" w:hAnsi="Verdana" w:cs="Times New Roman"/>
                <w:color w:val="000000"/>
                <w:sz w:val="15"/>
                <w:szCs w:val="15"/>
              </w:rPr>
              <w:br/>
            </w:r>
            <w:r w:rsidR="00D72C32" w:rsidRPr="00D72C32">
              <w:rPr>
                <w:rFonts w:ascii="Verdana" w:eastAsia="Times New Roman" w:hAnsi="Verdana" w:cs="Times New Roman"/>
                <w:color w:val="000000"/>
                <w:sz w:val="15"/>
                <w:szCs w:val="15"/>
              </w:rPr>
              <w:br/>
            </w:r>
            <w:r w:rsidR="00D72C32" w:rsidRPr="00D72C32">
              <w:rPr>
                <w:rFonts w:ascii="Verdana" w:eastAsia="Times New Roman" w:hAnsi="Verdana" w:cs="Times New Roman"/>
                <w:i/>
                <w:iCs/>
                <w:color w:val="000000"/>
                <w:sz w:val="15"/>
                <w:szCs w:val="15"/>
              </w:rPr>
              <w:t>Financial Account:</w:t>
            </w:r>
            <w:r w:rsidR="00D72C32" w:rsidRPr="00D72C32">
              <w:rPr>
                <w:rFonts w:ascii="Verdana" w:eastAsia="Times New Roman" w:hAnsi="Verdana" w:cs="Times New Roman"/>
                <w:b/>
                <w:bCs/>
                <w:i/>
                <w:iCs/>
                <w:color w:val="000000"/>
                <w:sz w:val="15"/>
                <w:szCs w:val="15"/>
              </w:rPr>
              <w:t> </w:t>
            </w:r>
            <w:r w:rsidR="00D72C32" w:rsidRPr="00D72C32">
              <w:rPr>
                <w:rFonts w:ascii="Verdana" w:eastAsia="Times New Roman" w:hAnsi="Verdana" w:cs="Times New Roman"/>
                <w:color w:val="000000"/>
                <w:sz w:val="15"/>
                <w:szCs w:val="15"/>
              </w:rPr>
              <w:br/>
              <w:t xml:space="preserve">For consistency, all items in the Financial account are edited and checked against the previous year’s data, fiscal accounts, MFS, and other sectors' statistical series for direct </w:t>
            </w:r>
            <w:r w:rsidR="00D72C32" w:rsidRPr="00D72C32">
              <w:rPr>
                <w:rFonts w:ascii="Verdana" w:eastAsia="Times New Roman" w:hAnsi="Verdana" w:cs="Times New Roman"/>
                <w:color w:val="000000"/>
                <w:sz w:val="15"/>
                <w:szCs w:val="15"/>
              </w:rPr>
              <w:lastRenderedPageBreak/>
              <w:t>investment, portfolio investment and other investment. This is done by running reports from the IERS to crosscheck balances of the previous periods with recently submitted data.</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29" w:name="43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3.3.2 Other statistical procedures</w:t>
            </w:r>
          </w:p>
          <w:bookmarkEnd w:id="29"/>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804B58">
              <w:rPr>
                <w:rFonts w:ascii="Verdana" w:eastAsia="Times New Roman" w:hAnsi="Verdana" w:cs="Times New Roman"/>
                <w:color w:val="000000"/>
                <w:sz w:val="15"/>
                <w:szCs w:val="15"/>
              </w:rPr>
              <w:t>Data on fiscal year are converted to calendar year.</w:t>
            </w:r>
            <w:r w:rsidRPr="00D72C32">
              <w:rPr>
                <w:rFonts w:ascii="Verdana" w:eastAsia="Times New Roman" w:hAnsi="Verdana" w:cs="Times New Roman"/>
                <w:color w:val="000000"/>
                <w:sz w:val="15"/>
                <w:szCs w:val="15"/>
              </w:rPr>
              <w:t xml:space="preserve"> No seasonal adjustments are made. Stock of international reserves are adjusted for capital gains and losses. The reserve data used to calculate imports cover are currently inclusive of valuation changes.</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lastRenderedPageBreak/>
              <w:t>3.4 Data validation</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30" w:name="441000"/>
            <w:r w:rsidRPr="00D72C32">
              <w:rPr>
                <w:rFonts w:ascii="Verdana" w:eastAsia="Times New Roman" w:hAnsi="Verdana" w:cs="Times New Roman"/>
                <w:b/>
                <w:bCs/>
                <w:color w:val="0000FF"/>
                <w:sz w:val="15"/>
                <w:szCs w:val="15"/>
              </w:rPr>
              <w:t>3.4.1 Validation of intermediate results</w:t>
            </w:r>
          </w:p>
          <w:bookmarkEnd w:id="30"/>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D1D8B">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Constant verifications are made to confirm consistency and correctness of data among various data. Also, the Bank of Namibia has a MOU with NSA in place on data issues, while the quarterly meetings to discuss data are also attended by the Ministry of Finance to understand each other’s data and the consistency of such data across the three institutions.</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31" w:name="44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3.4.2 Assessment of intermediate data</w:t>
            </w:r>
          </w:p>
          <w:bookmarkEnd w:id="31"/>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Assessment and follow up</w:t>
            </w:r>
            <w:r w:rsidR="00DD1D8B">
              <w:rPr>
                <w:rFonts w:ascii="Verdana" w:eastAsia="Times New Roman" w:hAnsi="Verdana" w:cs="Times New Roman"/>
                <w:color w:val="000000"/>
                <w:sz w:val="15"/>
                <w:szCs w:val="15"/>
              </w:rPr>
              <w:t>s</w:t>
            </w:r>
            <w:r w:rsidRPr="00D72C32">
              <w:rPr>
                <w:rFonts w:ascii="Verdana" w:eastAsia="Times New Roman" w:hAnsi="Verdana" w:cs="Times New Roman"/>
                <w:color w:val="000000"/>
                <w:sz w:val="15"/>
                <w:szCs w:val="15"/>
              </w:rPr>
              <w:t xml:space="preserve"> are constantly made to confirm consistency and correctness of data among various data producing agencies and a lot has been picked up through this process.</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32" w:name="443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3.4.3 Assessment of discrepancies and other problems in statistical outputs</w:t>
            </w:r>
          </w:p>
          <w:bookmarkEnd w:id="32"/>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D1D8B">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Discrepancies in various data are being picked up and steps are taken to rectify if necessary. Discrepancies in trade data are the major example, and necessary efforts are put in place to do away with such discrepancies by reviewing the source data and methodology used to compile the data as well as adjustments made to the data. In addition, the quarterly reconciliation meetings between the section and colleagues at the NSA also aid in rectifying the variance as per the MOU.</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3.5 Revision studies</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33" w:name="451000"/>
            <w:r w:rsidRPr="00D72C32">
              <w:rPr>
                <w:rFonts w:ascii="Verdana" w:eastAsia="Times New Roman" w:hAnsi="Verdana" w:cs="Times New Roman"/>
                <w:b/>
                <w:bCs/>
                <w:color w:val="0000FF"/>
                <w:sz w:val="15"/>
                <w:szCs w:val="15"/>
              </w:rPr>
              <w:t>3.5.1 Revision studies and analyses</w:t>
            </w:r>
          </w:p>
          <w:bookmarkEnd w:id="33"/>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Revisions to the released data are done on a quarterly basis through the Quarterly bulletin for the data released during the previous quarter and footnotes are also used to indicate data that ha</w:t>
            </w:r>
            <w:r w:rsidR="00DD1D8B">
              <w:rPr>
                <w:rFonts w:ascii="Verdana" w:eastAsia="Times New Roman" w:hAnsi="Verdana" w:cs="Times New Roman"/>
                <w:color w:val="000000"/>
                <w:sz w:val="15"/>
                <w:szCs w:val="15"/>
              </w:rPr>
              <w:t>s</w:t>
            </w:r>
            <w:r w:rsidRPr="00D72C32">
              <w:rPr>
                <w:rFonts w:ascii="Verdana" w:eastAsia="Times New Roman" w:hAnsi="Verdana" w:cs="Times New Roman"/>
                <w:color w:val="000000"/>
                <w:sz w:val="15"/>
                <w:szCs w:val="15"/>
              </w:rPr>
              <w:t xml:space="preserve"> changed from the previous release.</w:t>
            </w:r>
          </w:p>
          <w:p w:rsidR="00D72C32" w:rsidRPr="00D72C32" w:rsidRDefault="00D72C32" w:rsidP="00D72C32">
            <w:pPr>
              <w:spacing w:after="0" w:line="240" w:lineRule="auto"/>
              <w:rPr>
                <w:rFonts w:ascii="Verdana" w:eastAsia="Times New Roman" w:hAnsi="Verdana" w:cs="Times New Roman"/>
                <w:color w:val="000000"/>
                <w:sz w:val="15"/>
                <w:szCs w:val="15"/>
              </w:rPr>
            </w:pPr>
          </w:p>
        </w:tc>
      </w:tr>
      <w:bookmarkEnd w:id="24"/>
      <w:tr w:rsidR="00D72C32" w:rsidRPr="00D72C32" w:rsidTr="00D72C32">
        <w:trPr>
          <w:jc w:val="center"/>
        </w:trPr>
        <w:tc>
          <w:tcPr>
            <w:tcW w:w="0" w:type="auto"/>
            <w:gridSpan w:val="2"/>
            <w:tcBorders>
              <w:top w:val="single" w:sz="6" w:space="0" w:color="7F7F7F"/>
              <w:left w:val="single" w:sz="6" w:space="0" w:color="7F7F7F"/>
              <w:bottom w:val="single" w:sz="6" w:space="0" w:color="7F7F7F"/>
              <w:right w:val="single" w:sz="6" w:space="0" w:color="7F7F7F"/>
            </w:tcBorders>
            <w:shd w:val="clear" w:color="auto" w:fill="E7E7FF"/>
            <w:tcMar>
              <w:top w:w="0" w:type="dxa"/>
              <w:left w:w="30" w:type="dxa"/>
              <w:bottom w:w="0" w:type="dxa"/>
              <w:right w:w="0" w:type="dxa"/>
            </w:tcMar>
            <w:hideMark/>
          </w:tcPr>
          <w:p w:rsidR="00D72C32" w:rsidRPr="00D72C32" w:rsidRDefault="00D72C32" w:rsidP="00D72C32">
            <w:pPr>
              <w:spacing w:after="0" w:line="240" w:lineRule="auto"/>
              <w:jc w:val="center"/>
              <w:rPr>
                <w:rFonts w:ascii="Verdana" w:eastAsia="Times New Roman" w:hAnsi="Verdana" w:cs="Times New Roman"/>
                <w:b/>
                <w:bCs/>
                <w:color w:val="0000FF"/>
                <w:sz w:val="21"/>
                <w:szCs w:val="21"/>
              </w:rPr>
            </w:pPr>
            <w:r w:rsidRPr="00D72C32">
              <w:rPr>
                <w:rFonts w:ascii="Verdana" w:eastAsia="Times New Roman" w:hAnsi="Verdana" w:cs="Times New Roman"/>
                <w:b/>
                <w:bCs/>
                <w:color w:val="0000FF"/>
                <w:sz w:val="21"/>
                <w:szCs w:val="21"/>
              </w:rPr>
              <w:t>4. Serviceability</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bookmarkStart w:id="34" w:name="500000" w:colFirst="0" w:colLast="0"/>
            <w:r w:rsidRPr="00D72C32">
              <w:rPr>
                <w:rFonts w:ascii="Verdana" w:eastAsia="Times New Roman" w:hAnsi="Verdana" w:cs="Times New Roman"/>
                <w:b/>
                <w:bCs/>
                <w:color w:val="0000FF"/>
                <w:sz w:val="15"/>
                <w:szCs w:val="15"/>
              </w:rPr>
              <w:t>4.1 Periodicity and timeliness</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35" w:name="511000"/>
            <w:r w:rsidRPr="00D72C32">
              <w:rPr>
                <w:rFonts w:ascii="Verdana" w:eastAsia="Times New Roman" w:hAnsi="Verdana" w:cs="Times New Roman"/>
                <w:b/>
                <w:bCs/>
                <w:color w:val="0000FF"/>
                <w:sz w:val="15"/>
                <w:szCs w:val="15"/>
              </w:rPr>
              <w:t>4.1.1 Periodicity</w:t>
            </w:r>
          </w:p>
          <w:bookmarkEnd w:id="35"/>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Data on BOP and IIP are produced on a quarterly and annual basis.</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36" w:name="51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4.1.2 Timeliness</w:t>
            </w:r>
          </w:p>
          <w:bookmarkEnd w:id="36"/>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 quarterly data are available three months after the end of the reference period. Similarly, the annual data are available three months after the end of the reference year.</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lastRenderedPageBreak/>
              <w:t>4.2 Consistency</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37" w:name="521000"/>
            <w:r w:rsidRPr="00D72C32">
              <w:rPr>
                <w:rFonts w:ascii="Verdana" w:eastAsia="Times New Roman" w:hAnsi="Verdana" w:cs="Times New Roman"/>
                <w:b/>
                <w:bCs/>
                <w:color w:val="0000FF"/>
                <w:sz w:val="15"/>
                <w:szCs w:val="15"/>
              </w:rPr>
              <w:t>4.2.1 Internal consistency</w:t>
            </w:r>
          </w:p>
          <w:bookmarkEnd w:id="37"/>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804B58">
              <w:rPr>
                <w:rFonts w:ascii="Verdana" w:eastAsia="Times New Roman" w:hAnsi="Verdana" w:cs="Times New Roman"/>
                <w:color w:val="000000"/>
                <w:sz w:val="15"/>
                <w:szCs w:val="15"/>
              </w:rPr>
              <w:t xml:space="preserve">Data is broadly consistent with those produced in other accounts internally but in some cases inconsistent with what is produced by other data producing agencies, </w:t>
            </w:r>
            <w:r w:rsidR="00DD1D8B" w:rsidRPr="00804B58">
              <w:rPr>
                <w:rFonts w:ascii="Verdana" w:eastAsia="Times New Roman" w:hAnsi="Verdana" w:cs="Times New Roman"/>
                <w:color w:val="000000"/>
                <w:sz w:val="15"/>
                <w:szCs w:val="15"/>
              </w:rPr>
              <w:t>particularly for NSA</w:t>
            </w:r>
            <w:r w:rsidRPr="00804B58">
              <w:rPr>
                <w:rFonts w:ascii="Verdana" w:eastAsia="Times New Roman" w:hAnsi="Verdana" w:cs="Times New Roman"/>
                <w:color w:val="000000"/>
                <w:sz w:val="15"/>
                <w:szCs w:val="15"/>
              </w:rPr>
              <w:t xml:space="preserve"> </w:t>
            </w:r>
            <w:r w:rsidR="00DD1D8B" w:rsidRPr="00804B58">
              <w:rPr>
                <w:rFonts w:ascii="Verdana" w:eastAsia="Times New Roman" w:hAnsi="Verdana" w:cs="Times New Roman"/>
                <w:color w:val="000000"/>
                <w:sz w:val="15"/>
                <w:szCs w:val="15"/>
              </w:rPr>
              <w:t>on</w:t>
            </w:r>
            <w:r w:rsidRPr="00804B58">
              <w:rPr>
                <w:rFonts w:ascii="Verdana" w:eastAsia="Times New Roman" w:hAnsi="Verdana" w:cs="Times New Roman"/>
                <w:color w:val="000000"/>
                <w:sz w:val="15"/>
                <w:szCs w:val="15"/>
              </w:rPr>
              <w:t xml:space="preserve"> trade statistics</w:t>
            </w:r>
            <w:r w:rsidR="00DD1D8B" w:rsidRPr="00804B58">
              <w:rPr>
                <w:rFonts w:ascii="Verdana" w:eastAsia="Times New Roman" w:hAnsi="Verdana" w:cs="Times New Roman"/>
                <w:color w:val="000000"/>
                <w:sz w:val="15"/>
                <w:szCs w:val="15"/>
              </w:rPr>
              <w:t xml:space="preserve"> due to the BOP adjustments that apply to only the external accounts and SNA</w:t>
            </w:r>
            <w:r w:rsidRPr="00804B58">
              <w:rPr>
                <w:rFonts w:ascii="Verdana" w:eastAsia="Times New Roman" w:hAnsi="Verdana" w:cs="Times New Roman"/>
                <w:color w:val="000000"/>
                <w:sz w:val="15"/>
                <w:szCs w:val="15"/>
              </w:rPr>
              <w:t>.</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38" w:name="52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4.2.2 Temporal consistency</w:t>
            </w:r>
          </w:p>
          <w:bookmarkEnd w:id="38"/>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082B24">
              <w:rPr>
                <w:rFonts w:ascii="Verdana" w:eastAsia="Times New Roman" w:hAnsi="Verdana" w:cs="Times New Roman"/>
                <w:color w:val="000000"/>
                <w:sz w:val="15"/>
                <w:szCs w:val="15"/>
              </w:rPr>
              <w:t>Data inconsistencies with other data producing agencies</w:t>
            </w:r>
            <w:r w:rsidR="00804B58" w:rsidRPr="00082B24">
              <w:rPr>
                <w:rFonts w:ascii="Verdana" w:eastAsia="Times New Roman" w:hAnsi="Verdana" w:cs="Times New Roman"/>
                <w:color w:val="000000"/>
                <w:sz w:val="15"/>
                <w:szCs w:val="15"/>
              </w:rPr>
              <w:t xml:space="preserve"> may exist due to </w:t>
            </w:r>
            <w:r w:rsidR="0073333F" w:rsidRPr="00082B24">
              <w:rPr>
                <w:rFonts w:ascii="Verdana" w:eastAsia="Times New Roman" w:hAnsi="Verdana" w:cs="Times New Roman"/>
                <w:color w:val="000000"/>
                <w:sz w:val="15"/>
                <w:szCs w:val="15"/>
              </w:rPr>
              <w:t xml:space="preserve">variation in publication dates. However, after review has taken place, </w:t>
            </w:r>
            <w:r w:rsidRPr="00082B24">
              <w:rPr>
                <w:rFonts w:ascii="Verdana" w:eastAsia="Times New Roman" w:hAnsi="Verdana" w:cs="Times New Roman"/>
                <w:color w:val="000000"/>
                <w:sz w:val="15"/>
                <w:szCs w:val="15"/>
              </w:rPr>
              <w:t xml:space="preserve">alignment </w:t>
            </w:r>
            <w:r w:rsidR="0073333F" w:rsidRPr="00082B24">
              <w:rPr>
                <w:rFonts w:ascii="Verdana" w:eastAsia="Times New Roman" w:hAnsi="Verdana" w:cs="Times New Roman"/>
                <w:color w:val="000000"/>
                <w:sz w:val="15"/>
                <w:szCs w:val="15"/>
              </w:rPr>
              <w:t xml:space="preserve">of data is made in the </w:t>
            </w:r>
            <w:r w:rsidR="00082B24" w:rsidRPr="00082B24">
              <w:rPr>
                <w:rFonts w:ascii="Verdana" w:eastAsia="Times New Roman" w:hAnsi="Verdana" w:cs="Times New Roman"/>
                <w:color w:val="000000"/>
                <w:sz w:val="15"/>
                <w:szCs w:val="15"/>
              </w:rPr>
              <w:t>next</w:t>
            </w:r>
            <w:r w:rsidR="0073333F" w:rsidRPr="00082B24">
              <w:rPr>
                <w:rFonts w:ascii="Verdana" w:eastAsia="Times New Roman" w:hAnsi="Verdana" w:cs="Times New Roman"/>
                <w:color w:val="000000"/>
                <w:sz w:val="15"/>
                <w:szCs w:val="15"/>
              </w:rPr>
              <w:t xml:space="preserve"> publications. </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39" w:name="523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4.2.3 Inter</w:t>
            </w:r>
            <w:r w:rsidR="00082B24">
              <w:rPr>
                <w:rFonts w:ascii="Verdana" w:eastAsia="Times New Roman" w:hAnsi="Verdana" w:cs="Times New Roman"/>
                <w:b/>
                <w:bCs/>
                <w:color w:val="0000FF"/>
                <w:sz w:val="15"/>
                <w:szCs w:val="15"/>
              </w:rPr>
              <w:t>-</w:t>
            </w:r>
            <w:r w:rsidRPr="00D72C32">
              <w:rPr>
                <w:rFonts w:ascii="Verdana" w:eastAsia="Times New Roman" w:hAnsi="Verdana" w:cs="Times New Roman"/>
                <w:b/>
                <w:bCs/>
                <w:color w:val="0000FF"/>
                <w:sz w:val="15"/>
                <w:szCs w:val="15"/>
              </w:rPr>
              <w:t>sectoral and cross-domain consistency</w:t>
            </w:r>
          </w:p>
          <w:bookmarkEnd w:id="39"/>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See 4.2.2 above.</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4.3 Revision</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40" w:name="531000"/>
            <w:r w:rsidRPr="00D72C32">
              <w:rPr>
                <w:rFonts w:ascii="Verdana" w:eastAsia="Times New Roman" w:hAnsi="Verdana" w:cs="Times New Roman"/>
                <w:b/>
                <w:bCs/>
                <w:color w:val="0000FF"/>
                <w:sz w:val="15"/>
                <w:szCs w:val="15"/>
              </w:rPr>
              <w:t>4.3.1 Revision schedule</w:t>
            </w:r>
          </w:p>
          <w:bookmarkEnd w:id="40"/>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A revision policy is in place for Balance of Payments data and is available on a quarterly basis for the previously released data of the previous quarter.</w:t>
            </w: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Balance of payments</w:t>
            </w:r>
          </w:p>
          <w:p w:rsidR="00D72C32" w:rsidRPr="0073333F" w:rsidRDefault="0073333F" w:rsidP="0073333F">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R</w:t>
            </w:r>
            <w:r w:rsidR="00D72C32" w:rsidRPr="00D72C32">
              <w:rPr>
                <w:rFonts w:ascii="Verdana" w:eastAsia="Times New Roman" w:hAnsi="Verdana" w:cs="Times New Roman"/>
                <w:color w:val="000000"/>
                <w:sz w:val="15"/>
                <w:szCs w:val="15"/>
              </w:rPr>
              <w:t>evision to the data is done on a quarterly basis and published in the Quarterly Bulletins.</w:t>
            </w:r>
            <w:bookmarkStart w:id="41" w:name="53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4.3.2 Identification of preliminary and/or revised data</w:t>
            </w:r>
          </w:p>
          <w:bookmarkEnd w:id="41"/>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A24756">
            <w:pPr>
              <w:spacing w:beforeAutospacing="1" w:after="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Published revision policy and footnotes are currently indicating revisions made or to be made to published data, </w:t>
            </w:r>
            <w:r w:rsidRPr="0073333F">
              <w:rPr>
                <w:rFonts w:ascii="Verdana" w:eastAsia="Times New Roman" w:hAnsi="Verdana" w:cs="Times New Roman"/>
                <w:color w:val="000000"/>
                <w:sz w:val="15"/>
                <w:szCs w:val="15"/>
              </w:rPr>
              <w:t xml:space="preserve">respectively. Furthermore, the revision policy </w:t>
            </w:r>
            <w:r w:rsidR="0073333F" w:rsidRPr="0073333F">
              <w:rPr>
                <w:rFonts w:ascii="Verdana" w:eastAsia="Times New Roman" w:hAnsi="Verdana" w:cs="Times New Roman"/>
                <w:color w:val="000000"/>
                <w:sz w:val="15"/>
                <w:szCs w:val="15"/>
              </w:rPr>
              <w:t>is posted on the website</w:t>
            </w:r>
            <w:r w:rsidRPr="0073333F">
              <w:rPr>
                <w:rFonts w:ascii="Verdana" w:eastAsia="Times New Roman" w:hAnsi="Verdana" w:cs="Times New Roman"/>
                <w:color w:val="000000"/>
                <w:sz w:val="15"/>
                <w:szCs w:val="15"/>
              </w:rPr>
              <w:t>.</w:t>
            </w: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Balance of payments</w:t>
            </w:r>
          </w:p>
          <w:p w:rsidR="00D72C32" w:rsidRPr="00D72C32" w:rsidRDefault="0073333F" w:rsidP="00D72C32">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P</w:t>
            </w:r>
            <w:r w:rsidRPr="00D72C32">
              <w:rPr>
                <w:rFonts w:ascii="Verdana" w:eastAsia="Times New Roman" w:hAnsi="Verdana" w:cs="Times New Roman"/>
                <w:color w:val="000000"/>
                <w:sz w:val="15"/>
                <w:szCs w:val="15"/>
              </w:rPr>
              <w:t xml:space="preserve">rovisional data </w:t>
            </w:r>
            <w:r w:rsidR="00082B24">
              <w:rPr>
                <w:rFonts w:ascii="Verdana" w:eastAsia="Times New Roman" w:hAnsi="Verdana" w:cs="Times New Roman"/>
                <w:color w:val="000000"/>
                <w:sz w:val="15"/>
                <w:szCs w:val="15"/>
              </w:rPr>
              <w:t>are identified</w:t>
            </w:r>
            <w:r>
              <w:rPr>
                <w:rFonts w:ascii="Verdana" w:eastAsia="Times New Roman" w:hAnsi="Verdana" w:cs="Times New Roman"/>
                <w:color w:val="000000"/>
                <w:sz w:val="15"/>
                <w:szCs w:val="15"/>
              </w:rPr>
              <w:t xml:space="preserve"> in the form of footnote</w:t>
            </w:r>
            <w:r w:rsidR="00082B24">
              <w:rPr>
                <w:rFonts w:ascii="Verdana" w:eastAsia="Times New Roman" w:hAnsi="Verdana" w:cs="Times New Roman"/>
                <w:color w:val="000000"/>
                <w:sz w:val="15"/>
                <w:szCs w:val="15"/>
              </w:rPr>
              <w:t>s</w:t>
            </w:r>
            <w:r w:rsidR="00D72C32" w:rsidRPr="00D72C32">
              <w:rPr>
                <w:rFonts w:ascii="Verdana" w:eastAsia="Times New Roman" w:hAnsi="Verdana" w:cs="Times New Roman"/>
                <w:color w:val="000000"/>
                <w:sz w:val="15"/>
                <w:szCs w:val="15"/>
              </w:rPr>
              <w:t xml:space="preserve"> </w:t>
            </w:r>
            <w:r>
              <w:rPr>
                <w:rFonts w:ascii="Verdana" w:eastAsia="Times New Roman" w:hAnsi="Verdana" w:cs="Times New Roman"/>
                <w:color w:val="000000"/>
                <w:sz w:val="15"/>
                <w:szCs w:val="15"/>
              </w:rPr>
              <w:t xml:space="preserve">and indicate that data </w:t>
            </w:r>
            <w:r w:rsidR="00D72C32" w:rsidRPr="00D72C32">
              <w:rPr>
                <w:rFonts w:ascii="Verdana" w:eastAsia="Times New Roman" w:hAnsi="Verdana" w:cs="Times New Roman"/>
                <w:color w:val="000000"/>
                <w:sz w:val="15"/>
                <w:szCs w:val="15"/>
              </w:rPr>
              <w:t>will be revised in the future.</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42" w:name="533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4.3.3 Dissemination of revision studies and analyses</w:t>
            </w:r>
          </w:p>
          <w:bookmarkEnd w:id="42"/>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Analyses of the revised data are disseminated in each Quarterly Bulletin.</w:t>
            </w:r>
          </w:p>
          <w:p w:rsidR="00D72C32" w:rsidRPr="00D72C32" w:rsidRDefault="00D72C32" w:rsidP="00D72C32">
            <w:pPr>
              <w:spacing w:after="0" w:line="240" w:lineRule="auto"/>
              <w:rPr>
                <w:rFonts w:ascii="Verdana" w:eastAsia="Times New Roman" w:hAnsi="Verdana" w:cs="Times New Roman"/>
                <w:color w:val="000000"/>
                <w:sz w:val="15"/>
                <w:szCs w:val="15"/>
              </w:rPr>
            </w:pPr>
          </w:p>
        </w:tc>
      </w:tr>
      <w:bookmarkEnd w:id="34"/>
      <w:tr w:rsidR="00D72C32" w:rsidRPr="00D72C32" w:rsidTr="00D72C32">
        <w:trPr>
          <w:jc w:val="center"/>
        </w:trPr>
        <w:tc>
          <w:tcPr>
            <w:tcW w:w="0" w:type="auto"/>
            <w:gridSpan w:val="2"/>
            <w:tcBorders>
              <w:top w:val="single" w:sz="6" w:space="0" w:color="7F7F7F"/>
              <w:left w:val="single" w:sz="6" w:space="0" w:color="7F7F7F"/>
              <w:bottom w:val="single" w:sz="6" w:space="0" w:color="7F7F7F"/>
              <w:right w:val="single" w:sz="6" w:space="0" w:color="7F7F7F"/>
            </w:tcBorders>
            <w:shd w:val="clear" w:color="auto" w:fill="E7E7FF"/>
            <w:tcMar>
              <w:top w:w="0" w:type="dxa"/>
              <w:left w:w="30" w:type="dxa"/>
              <w:bottom w:w="0" w:type="dxa"/>
              <w:right w:w="0" w:type="dxa"/>
            </w:tcMar>
            <w:hideMark/>
          </w:tcPr>
          <w:p w:rsidR="00D72C32" w:rsidRPr="00D72C32" w:rsidRDefault="00D72C32" w:rsidP="00D72C32">
            <w:pPr>
              <w:spacing w:after="0" w:line="240" w:lineRule="auto"/>
              <w:jc w:val="center"/>
              <w:rPr>
                <w:rFonts w:ascii="Verdana" w:eastAsia="Times New Roman" w:hAnsi="Verdana" w:cs="Times New Roman"/>
                <w:b/>
                <w:bCs/>
                <w:color w:val="0000FF"/>
                <w:sz w:val="21"/>
                <w:szCs w:val="21"/>
              </w:rPr>
            </w:pPr>
            <w:r w:rsidRPr="00D72C32">
              <w:rPr>
                <w:rFonts w:ascii="Verdana" w:eastAsia="Times New Roman" w:hAnsi="Verdana" w:cs="Times New Roman"/>
                <w:b/>
                <w:bCs/>
                <w:color w:val="0000FF"/>
                <w:sz w:val="21"/>
                <w:szCs w:val="21"/>
              </w:rPr>
              <w:t>5. Accessibility</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bookmarkStart w:id="43" w:name="600000" w:colFirst="0" w:colLast="0"/>
            <w:r w:rsidRPr="00D72C32">
              <w:rPr>
                <w:rFonts w:ascii="Verdana" w:eastAsia="Times New Roman" w:hAnsi="Verdana" w:cs="Times New Roman"/>
                <w:b/>
                <w:bCs/>
                <w:color w:val="0000FF"/>
                <w:sz w:val="15"/>
                <w:szCs w:val="15"/>
              </w:rPr>
              <w:t>5.1 Data</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44" w:name="611000"/>
            <w:r w:rsidRPr="00D72C32">
              <w:rPr>
                <w:rFonts w:ascii="Verdana" w:eastAsia="Times New Roman" w:hAnsi="Verdana" w:cs="Times New Roman"/>
                <w:b/>
                <w:bCs/>
                <w:color w:val="0000FF"/>
                <w:sz w:val="15"/>
                <w:szCs w:val="15"/>
              </w:rPr>
              <w:t>5.1.1 Statistical presentation</w:t>
            </w:r>
          </w:p>
          <w:bookmarkEnd w:id="44"/>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A24756">
            <w:pPr>
              <w:spacing w:beforeAutospacing="1" w:after="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 data are disseminated in millions of Namibia dollars. The main headings of the </w:t>
            </w:r>
            <w:r w:rsidRPr="00D72C32">
              <w:rPr>
                <w:rFonts w:ascii="Verdana" w:eastAsia="Times New Roman" w:hAnsi="Verdana" w:cs="Times New Roman"/>
                <w:i/>
                <w:iCs/>
                <w:color w:val="000000"/>
                <w:sz w:val="15"/>
                <w:szCs w:val="15"/>
              </w:rPr>
              <w:t>current account</w:t>
            </w:r>
            <w:r w:rsidRPr="00D72C32">
              <w:rPr>
                <w:rFonts w:ascii="Verdana" w:eastAsia="Times New Roman" w:hAnsi="Verdana" w:cs="Times New Roman"/>
                <w:color w:val="000000"/>
                <w:sz w:val="15"/>
                <w:szCs w:val="15"/>
              </w:rPr>
              <w:t> are as follows: merchandise trade balance, exports f.o.b., imports f.o.b., services (net),</w:t>
            </w:r>
            <w:r w:rsidR="00A24756">
              <w:rPr>
                <w:rFonts w:ascii="Verdana" w:eastAsia="Times New Roman" w:hAnsi="Verdana" w:cs="Times New Roman"/>
                <w:color w:val="000000"/>
                <w:sz w:val="15"/>
                <w:szCs w:val="15"/>
              </w:rPr>
              <w:t xml:space="preserve"> primary income (constituting </w:t>
            </w:r>
            <w:r w:rsidRPr="00D72C32">
              <w:rPr>
                <w:rFonts w:ascii="Verdana" w:eastAsia="Times New Roman" w:hAnsi="Verdana" w:cs="Times New Roman"/>
                <w:color w:val="000000"/>
                <w:sz w:val="15"/>
                <w:szCs w:val="15"/>
              </w:rPr>
              <w:t>compensation of employees (net), investment income (net)</w:t>
            </w:r>
            <w:r w:rsidR="00A24756">
              <w:rPr>
                <w:rFonts w:ascii="Verdana" w:eastAsia="Times New Roman" w:hAnsi="Verdana" w:cs="Times New Roman"/>
                <w:color w:val="000000"/>
                <w:sz w:val="15"/>
                <w:szCs w:val="15"/>
              </w:rPr>
              <w:t xml:space="preserve"> and other primary income)</w:t>
            </w:r>
            <w:r w:rsidRPr="00D72C32">
              <w:rPr>
                <w:rFonts w:ascii="Verdana" w:eastAsia="Times New Roman" w:hAnsi="Verdana" w:cs="Times New Roman"/>
                <w:color w:val="000000"/>
                <w:sz w:val="15"/>
                <w:szCs w:val="15"/>
              </w:rPr>
              <w:t xml:space="preserve">, and the </w:t>
            </w:r>
            <w:r w:rsidR="00A24756">
              <w:rPr>
                <w:rFonts w:ascii="Verdana" w:eastAsia="Times New Roman" w:hAnsi="Verdana" w:cs="Times New Roman"/>
                <w:color w:val="000000"/>
                <w:sz w:val="15"/>
                <w:szCs w:val="15"/>
              </w:rPr>
              <w:t>secondary income</w:t>
            </w:r>
            <w:r w:rsidRPr="00D72C32">
              <w:rPr>
                <w:rFonts w:ascii="Verdana" w:eastAsia="Times New Roman" w:hAnsi="Verdana" w:cs="Times New Roman"/>
                <w:color w:val="000000"/>
                <w:sz w:val="15"/>
                <w:szCs w:val="15"/>
              </w:rPr>
              <w:t>. The main heading</w:t>
            </w:r>
            <w:r w:rsidR="00A24756">
              <w:rPr>
                <w:rFonts w:ascii="Verdana" w:eastAsia="Times New Roman" w:hAnsi="Verdana" w:cs="Times New Roman"/>
                <w:color w:val="000000"/>
                <w:sz w:val="15"/>
                <w:szCs w:val="15"/>
              </w:rPr>
              <w:t>s</w:t>
            </w:r>
            <w:r w:rsidRPr="00D72C32">
              <w:rPr>
                <w:rFonts w:ascii="Verdana" w:eastAsia="Times New Roman" w:hAnsi="Verdana" w:cs="Times New Roman"/>
                <w:color w:val="000000"/>
                <w:sz w:val="15"/>
                <w:szCs w:val="15"/>
              </w:rPr>
              <w:t xml:space="preserve"> on </w:t>
            </w:r>
            <w:r w:rsidRPr="00D72C32">
              <w:rPr>
                <w:rFonts w:ascii="Verdana" w:eastAsia="Times New Roman" w:hAnsi="Verdana" w:cs="Times New Roman"/>
                <w:i/>
                <w:iCs/>
                <w:color w:val="000000"/>
                <w:sz w:val="15"/>
                <w:szCs w:val="15"/>
              </w:rPr>
              <w:t xml:space="preserve">capital </w:t>
            </w:r>
            <w:r w:rsidRPr="00D72C32">
              <w:rPr>
                <w:rFonts w:ascii="Verdana" w:eastAsia="Times New Roman" w:hAnsi="Verdana" w:cs="Times New Roman"/>
                <w:i/>
                <w:iCs/>
                <w:color w:val="000000"/>
                <w:sz w:val="15"/>
                <w:szCs w:val="15"/>
              </w:rPr>
              <w:lastRenderedPageBreak/>
              <w:t>account </w:t>
            </w:r>
            <w:r w:rsidR="00A24756">
              <w:rPr>
                <w:rFonts w:ascii="Verdana" w:eastAsia="Times New Roman" w:hAnsi="Verdana" w:cs="Times New Roman"/>
                <w:color w:val="000000"/>
                <w:sz w:val="15"/>
                <w:szCs w:val="15"/>
              </w:rPr>
              <w:t>are</w:t>
            </w:r>
            <w:r w:rsidRPr="00D72C32">
              <w:rPr>
                <w:rFonts w:ascii="Verdana" w:eastAsia="Times New Roman" w:hAnsi="Verdana" w:cs="Times New Roman"/>
                <w:color w:val="000000"/>
                <w:sz w:val="15"/>
                <w:szCs w:val="15"/>
              </w:rPr>
              <w:t xml:space="preserve"> net </w:t>
            </w:r>
            <w:r w:rsidR="00A24756">
              <w:rPr>
                <w:rFonts w:ascii="Verdana" w:eastAsia="Times New Roman" w:hAnsi="Verdana" w:cs="Times New Roman"/>
                <w:color w:val="000000"/>
                <w:sz w:val="15"/>
                <w:szCs w:val="15"/>
              </w:rPr>
              <w:t>g</w:t>
            </w:r>
            <w:r w:rsidR="00A24756" w:rsidRPr="00A24756">
              <w:rPr>
                <w:rFonts w:ascii="Verdana" w:eastAsia="Times New Roman" w:hAnsi="Verdana" w:cs="Times New Roman"/>
                <w:color w:val="000000"/>
                <w:sz w:val="15"/>
                <w:szCs w:val="15"/>
              </w:rPr>
              <w:t>ross acquisitions/ disposals of non-produced nonfinancial assets</w:t>
            </w:r>
            <w:r w:rsidR="00A24756">
              <w:rPr>
                <w:rFonts w:ascii="Verdana" w:eastAsia="Times New Roman" w:hAnsi="Verdana" w:cs="Times New Roman"/>
                <w:color w:val="000000"/>
                <w:sz w:val="15"/>
                <w:szCs w:val="15"/>
              </w:rPr>
              <w:t xml:space="preserve"> and capital transfers</w:t>
            </w:r>
            <w:r w:rsidRPr="00D72C32">
              <w:rPr>
                <w:rFonts w:ascii="Verdana" w:eastAsia="Times New Roman" w:hAnsi="Verdana" w:cs="Times New Roman"/>
                <w:color w:val="000000"/>
                <w:sz w:val="15"/>
                <w:szCs w:val="15"/>
              </w:rPr>
              <w:t>. The </w:t>
            </w:r>
            <w:r w:rsidRPr="00D72C32">
              <w:rPr>
                <w:rFonts w:ascii="Verdana" w:eastAsia="Times New Roman" w:hAnsi="Verdana" w:cs="Times New Roman"/>
                <w:i/>
                <w:iCs/>
                <w:color w:val="000000"/>
                <w:sz w:val="15"/>
                <w:szCs w:val="15"/>
              </w:rPr>
              <w:t>financial account</w:t>
            </w:r>
            <w:r w:rsidRPr="00D72C32">
              <w:rPr>
                <w:rFonts w:ascii="Verdana" w:eastAsia="Times New Roman" w:hAnsi="Verdana" w:cs="Times New Roman"/>
                <w:color w:val="000000"/>
                <w:sz w:val="15"/>
                <w:szCs w:val="15"/>
              </w:rPr>
              <w:t> is made up of</w:t>
            </w:r>
            <w:r w:rsidR="00A24756">
              <w:rPr>
                <w:rFonts w:ascii="Verdana" w:eastAsia="Times New Roman" w:hAnsi="Verdana" w:cs="Times New Roman"/>
                <w:color w:val="000000"/>
                <w:sz w:val="15"/>
                <w:szCs w:val="15"/>
              </w:rPr>
              <w:t xml:space="preserve"> five functional categories, namely </w:t>
            </w:r>
            <w:r w:rsidRPr="00D72C32">
              <w:rPr>
                <w:rFonts w:ascii="Verdana" w:eastAsia="Times New Roman" w:hAnsi="Verdana" w:cs="Times New Roman"/>
                <w:color w:val="000000"/>
                <w:sz w:val="15"/>
                <w:szCs w:val="15"/>
              </w:rPr>
              <w:t xml:space="preserve">direct investment, portfolio investment, other </w:t>
            </w:r>
            <w:r w:rsidR="00A24756">
              <w:rPr>
                <w:rFonts w:ascii="Verdana" w:eastAsia="Times New Roman" w:hAnsi="Verdana" w:cs="Times New Roman"/>
                <w:color w:val="000000"/>
                <w:sz w:val="15"/>
                <w:szCs w:val="15"/>
              </w:rPr>
              <w:t xml:space="preserve">investment long and </w:t>
            </w:r>
            <w:r w:rsidRPr="00D72C32">
              <w:rPr>
                <w:rFonts w:ascii="Verdana" w:eastAsia="Times New Roman" w:hAnsi="Verdana" w:cs="Times New Roman"/>
                <w:color w:val="000000"/>
                <w:sz w:val="15"/>
                <w:szCs w:val="15"/>
              </w:rPr>
              <w:t xml:space="preserve">short-term </w:t>
            </w:r>
            <w:r w:rsidR="00A24756">
              <w:rPr>
                <w:rFonts w:ascii="Verdana" w:eastAsia="Times New Roman" w:hAnsi="Verdana" w:cs="Times New Roman"/>
                <w:color w:val="000000"/>
                <w:sz w:val="15"/>
                <w:szCs w:val="15"/>
              </w:rPr>
              <w:t>and reserve assets</w:t>
            </w:r>
            <w:r w:rsidRPr="00D72C32">
              <w:rPr>
                <w:rFonts w:ascii="Verdana" w:eastAsia="Times New Roman" w:hAnsi="Verdana" w:cs="Times New Roman"/>
                <w:color w:val="000000"/>
                <w:sz w:val="15"/>
                <w:szCs w:val="15"/>
              </w:rPr>
              <w:t>. Text analyzing these data are presented clearly in the reports and further presented in tables and charts.</w:t>
            </w:r>
            <w:bookmarkStart w:id="45" w:name="6121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Hard copy - New release</w:t>
            </w:r>
          </w:p>
          <w:bookmarkEnd w:id="45"/>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75186D">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BOP data are disseminated on a quarterly and annual basis on the Bank’s website</w:t>
            </w:r>
            <w:r w:rsidR="009204AF">
              <w:rPr>
                <w:rFonts w:ascii="Verdana" w:eastAsia="Times New Roman" w:hAnsi="Verdana" w:cs="Times New Roman"/>
                <w:color w:val="000000"/>
                <w:sz w:val="15"/>
                <w:szCs w:val="15"/>
              </w:rPr>
              <w:t xml:space="preserve">, </w:t>
            </w:r>
            <w:r w:rsidRPr="00D72C32">
              <w:rPr>
                <w:rFonts w:ascii="Verdana" w:eastAsia="Times New Roman" w:hAnsi="Verdana" w:cs="Times New Roman"/>
                <w:color w:val="000000"/>
                <w:sz w:val="15"/>
                <w:szCs w:val="15"/>
              </w:rPr>
              <w:t>a few hardcopies of the Annual Reports are kept available for distribution to the general public</w:t>
            </w:r>
            <w:r w:rsidR="00146BD2">
              <w:rPr>
                <w:rFonts w:ascii="Verdana" w:eastAsia="Times New Roman" w:hAnsi="Verdana" w:cs="Times New Roman"/>
                <w:color w:val="000000"/>
                <w:sz w:val="15"/>
                <w:szCs w:val="15"/>
              </w:rPr>
              <w:t xml:space="preserve"> </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46" w:name="6122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Hard copy - Weekly bulletin</w:t>
            </w:r>
          </w:p>
          <w:bookmarkEnd w:id="46"/>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None</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47" w:name="6123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Hard copy - Monthly Bulletin</w:t>
            </w:r>
          </w:p>
          <w:bookmarkEnd w:id="47"/>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None</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48" w:name="6124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Hard copy - Quarterly bulletin</w:t>
            </w:r>
          </w:p>
          <w:bookmarkEnd w:id="48"/>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Only soft copies of the Quarterly bulletin are available on the Bank’s website.</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49" w:name="6125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 xml:space="preserve">Hard copy - </w:t>
            </w:r>
            <w:r w:rsidR="00146BD2">
              <w:rPr>
                <w:rFonts w:ascii="Verdana" w:eastAsia="Times New Roman" w:hAnsi="Verdana" w:cs="Times New Roman"/>
                <w:b/>
                <w:bCs/>
                <w:color w:val="0000FF"/>
                <w:sz w:val="15"/>
                <w:szCs w:val="15"/>
              </w:rPr>
              <w:t>Annual Report</w:t>
            </w:r>
          </w:p>
          <w:bookmarkEnd w:id="49"/>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Bank of </w:t>
            </w:r>
            <w:r w:rsidR="00146BD2">
              <w:rPr>
                <w:rFonts w:ascii="Verdana" w:eastAsia="Times New Roman" w:hAnsi="Verdana" w:cs="Times New Roman"/>
                <w:color w:val="000000"/>
                <w:sz w:val="15"/>
                <w:szCs w:val="15"/>
              </w:rPr>
              <w:t>Namibia</w:t>
            </w:r>
            <w:r w:rsidRPr="00D72C32">
              <w:rPr>
                <w:rFonts w:ascii="Verdana" w:eastAsia="Times New Roman" w:hAnsi="Verdana" w:cs="Times New Roman"/>
                <w:color w:val="000000"/>
                <w:sz w:val="15"/>
                <w:szCs w:val="15"/>
              </w:rPr>
              <w:t xml:space="preserve"> Annual Report</w:t>
            </w:r>
            <w:r w:rsidR="00146BD2">
              <w:rPr>
                <w:rFonts w:ascii="Verdana" w:eastAsia="Times New Roman" w:hAnsi="Verdana" w:cs="Times New Roman"/>
                <w:color w:val="000000"/>
                <w:sz w:val="15"/>
                <w:szCs w:val="15"/>
              </w:rPr>
              <w:t xml:space="preserve"> is </w:t>
            </w:r>
            <w:r w:rsidR="00146BD2" w:rsidRPr="00D72C32">
              <w:rPr>
                <w:rFonts w:ascii="Verdana" w:eastAsia="Times New Roman" w:hAnsi="Verdana" w:cs="Times New Roman"/>
                <w:color w:val="000000"/>
                <w:sz w:val="15"/>
                <w:szCs w:val="15"/>
              </w:rPr>
              <w:t>available for distribution to the general public</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50" w:name="6126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Electronic - On-line bulletin or data</w:t>
            </w:r>
          </w:p>
          <w:bookmarkEnd w:id="50"/>
          <w:p w:rsidR="00D72C32" w:rsidRPr="00D72C32" w:rsidRDefault="00D72C32" w:rsidP="00D72C32">
            <w:pPr>
              <w:spacing w:after="0" w:line="240" w:lineRule="auto"/>
              <w:rPr>
                <w:rFonts w:ascii="Verdana" w:eastAsia="Times New Roman" w:hAnsi="Verdana" w:cs="Times New Roman"/>
                <w:color w:val="000000"/>
                <w:sz w:val="15"/>
                <w:szCs w:val="15"/>
              </w:rPr>
            </w:pPr>
          </w:p>
          <w:p w:rsidR="00146BD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 Quarterly Bulletin and Annual Report with BOP data are published on the Bank’s website: </w:t>
            </w:r>
            <w:hyperlink r:id="rId8" w:history="1">
              <w:r w:rsidRPr="00D72C32">
                <w:rPr>
                  <w:rFonts w:ascii="Verdana" w:eastAsia="Times New Roman" w:hAnsi="Verdana" w:cs="Times New Roman"/>
                  <w:color w:val="0000FF"/>
                  <w:sz w:val="15"/>
                  <w:szCs w:val="15"/>
                  <w:u w:val="single"/>
                </w:rPr>
                <w:t>http://www.bon.com.na</w:t>
              </w:r>
            </w:hyperlink>
            <w:r w:rsidRPr="00D72C32">
              <w:rPr>
                <w:rFonts w:ascii="Verdana" w:eastAsia="Times New Roman" w:hAnsi="Verdana" w:cs="Times New Roman"/>
                <w:color w:val="000000"/>
                <w:sz w:val="15"/>
                <w:szCs w:val="15"/>
              </w:rPr>
              <w:t> on a quarterly and annual basis, respectively.</w:t>
            </w:r>
          </w:p>
          <w:p w:rsidR="00D72C32" w:rsidRDefault="00146BD2" w:rsidP="00D72C32">
            <w:pPr>
              <w:spacing w:beforeAutospacing="1" w:after="0" w:afterAutospacing="1" w:line="240" w:lineRule="auto"/>
              <w:rPr>
                <w:rFonts w:ascii="Verdana" w:eastAsia="Times New Roman" w:hAnsi="Verdana" w:cs="Times New Roman"/>
                <w:color w:val="000000"/>
                <w:sz w:val="15"/>
                <w:szCs w:val="15"/>
              </w:rPr>
            </w:pPr>
            <w:r w:rsidRPr="0073333F">
              <w:rPr>
                <w:rFonts w:ascii="Verdana" w:eastAsia="Times New Roman" w:hAnsi="Verdana" w:cs="Times New Roman"/>
                <w:color w:val="000000"/>
                <w:sz w:val="15"/>
                <w:szCs w:val="15"/>
              </w:rPr>
              <w:t xml:space="preserve">BOP data are disseminated on a quarterly and annual basis on the Bank’s website through the following link: </w:t>
            </w:r>
            <w:hyperlink r:id="rId9" w:history="1">
              <w:r w:rsidRPr="0073333F">
                <w:rPr>
                  <w:rStyle w:val="Hyperlink"/>
                  <w:rFonts w:ascii="Verdana" w:eastAsia="Times New Roman" w:hAnsi="Verdana" w:cs="Times New Roman"/>
                  <w:sz w:val="15"/>
                  <w:szCs w:val="15"/>
                </w:rPr>
                <w:t>https://www.bon.com.na/Economic-information/Statistical-information/Balance-of-payments.aspx</w:t>
              </w:r>
            </w:hyperlink>
            <w:r w:rsidRPr="0073333F">
              <w:rPr>
                <w:rFonts w:ascii="Verdana" w:eastAsia="Times New Roman" w:hAnsi="Verdana" w:cs="Times New Roman"/>
                <w:color w:val="000000"/>
                <w:sz w:val="15"/>
                <w:szCs w:val="15"/>
              </w:rPr>
              <w:t>,</w:t>
            </w:r>
            <w:r w:rsidRPr="00D72C32">
              <w:rPr>
                <w:rFonts w:ascii="Verdana" w:eastAsia="Times New Roman" w:hAnsi="Verdana" w:cs="Times New Roman"/>
                <w:color w:val="000000"/>
                <w:sz w:val="15"/>
                <w:szCs w:val="15"/>
              </w:rPr>
              <w:t xml:space="preserve"> </w:t>
            </w:r>
            <w:bookmarkStart w:id="51" w:name="612700"/>
          </w:p>
          <w:p w:rsidR="00146BD2" w:rsidRPr="00D72C32" w:rsidRDefault="00146BD2" w:rsidP="00D72C32">
            <w:pPr>
              <w:spacing w:after="0" w:line="240" w:lineRule="auto"/>
              <w:rPr>
                <w:rFonts w:ascii="Verdana" w:eastAsia="Times New Roman" w:hAnsi="Verdana" w:cs="Times New Roman"/>
                <w:color w:val="0000FF"/>
                <w:sz w:val="15"/>
                <w:szCs w:val="15"/>
              </w:rPr>
            </w:pPr>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Electronic - Other</w:t>
            </w:r>
          </w:p>
          <w:bookmarkEnd w:id="51"/>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Public BOP data are forwarded to stakeholders in softcopy on requests.</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52" w:name="613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5.1.3 Advance release calendar</w:t>
            </w:r>
          </w:p>
          <w:bookmarkEnd w:id="52"/>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75186D">
            <w:pPr>
              <w:spacing w:beforeAutospacing="1" w:after="0" w:afterAutospacing="1" w:line="240" w:lineRule="auto"/>
              <w:jc w:val="both"/>
              <w:rPr>
                <w:rFonts w:ascii="Verdana" w:eastAsia="Times New Roman" w:hAnsi="Verdana" w:cs="Times New Roman"/>
                <w:color w:val="000000"/>
                <w:sz w:val="15"/>
                <w:szCs w:val="15"/>
              </w:rPr>
            </w:pPr>
            <w:r w:rsidRPr="00393A9D">
              <w:rPr>
                <w:rFonts w:ascii="Verdana" w:eastAsia="Times New Roman" w:hAnsi="Verdana" w:cs="Times New Roman"/>
                <w:color w:val="000000"/>
                <w:sz w:val="15"/>
                <w:szCs w:val="15"/>
              </w:rPr>
              <w:lastRenderedPageBreak/>
              <w:t xml:space="preserve">There is an advance release calendar </w:t>
            </w:r>
            <w:r w:rsidR="009204AF" w:rsidRPr="00393A9D">
              <w:rPr>
                <w:rFonts w:ascii="Verdana" w:eastAsia="Times New Roman" w:hAnsi="Verdana" w:cs="Times New Roman"/>
                <w:color w:val="000000"/>
                <w:sz w:val="15"/>
                <w:szCs w:val="15"/>
              </w:rPr>
              <w:t>in place within the Research department</w:t>
            </w:r>
            <w:r w:rsidRPr="00393A9D">
              <w:rPr>
                <w:rFonts w:ascii="Verdana" w:eastAsia="Times New Roman" w:hAnsi="Verdana" w:cs="Times New Roman"/>
                <w:color w:val="000000"/>
                <w:sz w:val="15"/>
                <w:szCs w:val="15"/>
              </w:rPr>
              <w:t>. This</w:t>
            </w:r>
            <w:r w:rsidR="0075186D" w:rsidRPr="00393A9D">
              <w:rPr>
                <w:rFonts w:ascii="Verdana" w:eastAsia="Times New Roman" w:hAnsi="Verdana" w:cs="Times New Roman"/>
                <w:color w:val="000000"/>
                <w:sz w:val="15"/>
                <w:szCs w:val="15"/>
              </w:rPr>
              <w:t xml:space="preserve"> is, however, not published any</w:t>
            </w:r>
            <w:r w:rsidRPr="00393A9D">
              <w:rPr>
                <w:rFonts w:ascii="Verdana" w:eastAsia="Times New Roman" w:hAnsi="Verdana" w:cs="Times New Roman"/>
                <w:color w:val="000000"/>
                <w:sz w:val="15"/>
                <w:szCs w:val="15"/>
              </w:rPr>
              <w:t xml:space="preserve">where else. The release calendar is updated on a </w:t>
            </w:r>
            <w:r w:rsidR="009204AF" w:rsidRPr="00393A9D">
              <w:rPr>
                <w:rFonts w:ascii="Verdana" w:eastAsia="Times New Roman" w:hAnsi="Verdana" w:cs="Times New Roman"/>
                <w:color w:val="000000"/>
                <w:sz w:val="15"/>
                <w:szCs w:val="15"/>
              </w:rPr>
              <w:t>yearly</w:t>
            </w:r>
            <w:r w:rsidRPr="00393A9D">
              <w:rPr>
                <w:rFonts w:ascii="Verdana" w:eastAsia="Times New Roman" w:hAnsi="Verdana" w:cs="Times New Roman"/>
                <w:color w:val="000000"/>
                <w:sz w:val="15"/>
                <w:szCs w:val="15"/>
              </w:rPr>
              <w:t xml:space="preserve"> basis</w:t>
            </w:r>
            <w:r w:rsidR="00393A9D">
              <w:rPr>
                <w:rFonts w:ascii="Verdana" w:eastAsia="Times New Roman" w:hAnsi="Verdana" w:cs="Times New Roman"/>
                <w:color w:val="000000"/>
                <w:sz w:val="15"/>
                <w:szCs w:val="15"/>
              </w:rPr>
              <w:t xml:space="preserve"> at the beginning of the year</w:t>
            </w:r>
            <w:r w:rsidRPr="00393A9D">
              <w:rPr>
                <w:rFonts w:ascii="Verdana" w:eastAsia="Times New Roman" w:hAnsi="Verdana" w:cs="Times New Roman"/>
                <w:color w:val="000000"/>
                <w:sz w:val="15"/>
                <w:szCs w:val="15"/>
              </w:rPr>
              <w:t>.</w:t>
            </w:r>
            <w:r w:rsidRPr="00D72C32">
              <w:rPr>
                <w:rFonts w:ascii="Verdana" w:eastAsia="Times New Roman" w:hAnsi="Verdana" w:cs="Times New Roman"/>
                <w:color w:val="000000"/>
                <w:sz w:val="15"/>
                <w:szCs w:val="15"/>
              </w:rPr>
              <w:t xml:space="preserve"> </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53" w:name="614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5.1.4 Simultaneous release</w:t>
            </w:r>
          </w:p>
          <w:bookmarkEnd w:id="53"/>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There is an embargo in place to ensure simultaneously release of publications to users.</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54" w:name="615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5.1.5 Dissemination on request</w:t>
            </w:r>
          </w:p>
          <w:bookmarkEnd w:id="54"/>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None</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lastRenderedPageBreak/>
              <w:t>5.2 Metadata</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55" w:name="621000"/>
            <w:r w:rsidRPr="00D72C32">
              <w:rPr>
                <w:rFonts w:ascii="Verdana" w:eastAsia="Times New Roman" w:hAnsi="Verdana" w:cs="Times New Roman"/>
                <w:b/>
                <w:bCs/>
                <w:color w:val="0000FF"/>
                <w:sz w:val="15"/>
                <w:szCs w:val="15"/>
              </w:rPr>
              <w:t>5.2.1 Dissemination of documentation on concepts, scope, classifications, basis of recording, data sources, and statistical techniques</w:t>
            </w:r>
          </w:p>
          <w:bookmarkEnd w:id="55"/>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75186D">
            <w:pPr>
              <w:spacing w:before="100" w:beforeAutospacing="1" w:after="100" w:afterAutospacing="1" w:line="240" w:lineRule="auto"/>
              <w:jc w:val="both"/>
              <w:rPr>
                <w:rFonts w:ascii="Verdana" w:eastAsia="Times New Roman" w:hAnsi="Verdana" w:cs="Times New Roman"/>
                <w:color w:val="000000"/>
                <w:sz w:val="15"/>
                <w:szCs w:val="15"/>
              </w:rPr>
            </w:pPr>
            <w:r w:rsidRPr="00393A9D">
              <w:rPr>
                <w:rFonts w:ascii="Verdana" w:eastAsia="Times New Roman" w:hAnsi="Verdana" w:cs="Times New Roman"/>
                <w:color w:val="000000"/>
                <w:sz w:val="15"/>
                <w:szCs w:val="15"/>
              </w:rPr>
              <w:t xml:space="preserve">The BOP </w:t>
            </w:r>
            <w:r w:rsidR="00393A9D" w:rsidRPr="00393A9D">
              <w:rPr>
                <w:rFonts w:ascii="Verdana" w:eastAsia="Times New Roman" w:hAnsi="Verdana" w:cs="Times New Roman"/>
                <w:color w:val="000000"/>
                <w:sz w:val="15"/>
                <w:szCs w:val="15"/>
              </w:rPr>
              <w:t xml:space="preserve">metadata </w:t>
            </w:r>
            <w:r w:rsidRPr="00393A9D">
              <w:rPr>
                <w:rFonts w:ascii="Verdana" w:eastAsia="Times New Roman" w:hAnsi="Verdana" w:cs="Times New Roman"/>
                <w:color w:val="000000"/>
                <w:sz w:val="15"/>
                <w:szCs w:val="15"/>
              </w:rPr>
              <w:t>contains technical notes, detailed methodology and sources used to compile BOP for Namibia. Also, methods, practices and data sources for compiling Namibia’s BOP, including reserve assets, make part of the IMF Balance of Payments Statistics Yearbook (BOPSY). This manual is also available to the public on the Bank’s website. The plan is to update the manual after every data improvement as a result of new sources, methods of adjustment.</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5.3 Assistance to users</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56" w:name="631000"/>
            <w:r w:rsidRPr="00D72C32">
              <w:rPr>
                <w:rFonts w:ascii="Verdana" w:eastAsia="Times New Roman" w:hAnsi="Verdana" w:cs="Times New Roman"/>
                <w:b/>
                <w:bCs/>
                <w:color w:val="0000FF"/>
                <w:sz w:val="15"/>
                <w:szCs w:val="15"/>
              </w:rPr>
              <w:t>5.3.1 Dissemination of information on contact points</w:t>
            </w:r>
          </w:p>
          <w:bookmarkEnd w:id="56"/>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None</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57" w:name="63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5.3.2 Availability of documents and services catalogs</w:t>
            </w:r>
          </w:p>
          <w:bookmarkEnd w:id="57"/>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None</w:t>
            </w:r>
          </w:p>
          <w:p w:rsidR="00D72C32" w:rsidRPr="00D72C32" w:rsidRDefault="00D72C32" w:rsidP="00D72C32">
            <w:pPr>
              <w:spacing w:after="0" w:line="240" w:lineRule="auto"/>
              <w:rPr>
                <w:rFonts w:ascii="Verdana" w:eastAsia="Times New Roman" w:hAnsi="Verdana" w:cs="Times New Roman"/>
                <w:color w:val="000000"/>
                <w:sz w:val="15"/>
                <w:szCs w:val="15"/>
              </w:rPr>
            </w:pPr>
          </w:p>
        </w:tc>
      </w:tr>
      <w:bookmarkEnd w:id="43"/>
      <w:tr w:rsidR="00D72C32" w:rsidRPr="00D72C32" w:rsidTr="00D72C32">
        <w:trPr>
          <w:jc w:val="center"/>
        </w:trPr>
        <w:tc>
          <w:tcPr>
            <w:tcW w:w="0" w:type="auto"/>
            <w:gridSpan w:val="2"/>
            <w:tcBorders>
              <w:top w:val="single" w:sz="6" w:space="0" w:color="7F7F7F"/>
              <w:left w:val="single" w:sz="6" w:space="0" w:color="7F7F7F"/>
              <w:bottom w:val="single" w:sz="6" w:space="0" w:color="7F7F7F"/>
              <w:right w:val="single" w:sz="6" w:space="0" w:color="7F7F7F"/>
            </w:tcBorders>
            <w:shd w:val="clear" w:color="auto" w:fill="E7E7FF"/>
            <w:tcMar>
              <w:top w:w="0" w:type="dxa"/>
              <w:left w:w="30" w:type="dxa"/>
              <w:bottom w:w="0" w:type="dxa"/>
              <w:right w:w="0" w:type="dxa"/>
            </w:tcMar>
            <w:hideMark/>
          </w:tcPr>
          <w:p w:rsidR="00D72C32" w:rsidRPr="00D72C32" w:rsidRDefault="00D72C32" w:rsidP="00D72C32">
            <w:pPr>
              <w:spacing w:after="0" w:line="240" w:lineRule="auto"/>
              <w:jc w:val="center"/>
              <w:rPr>
                <w:rFonts w:ascii="Verdana" w:eastAsia="Times New Roman" w:hAnsi="Verdana" w:cs="Times New Roman"/>
                <w:b/>
                <w:bCs/>
                <w:color w:val="0000FF"/>
                <w:sz w:val="21"/>
                <w:szCs w:val="21"/>
              </w:rPr>
            </w:pPr>
            <w:r w:rsidRPr="00D72C32">
              <w:rPr>
                <w:rFonts w:ascii="Verdana" w:eastAsia="Times New Roman" w:hAnsi="Verdana" w:cs="Times New Roman"/>
                <w:b/>
                <w:bCs/>
                <w:color w:val="0000FF"/>
                <w:sz w:val="21"/>
                <w:szCs w:val="21"/>
              </w:rPr>
              <w:t>9. Plans</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A22639">
            <w:pPr>
              <w:shd w:val="clear" w:color="auto" w:fill="E3E4FA"/>
              <w:spacing w:after="0" w:line="240" w:lineRule="auto"/>
              <w:rPr>
                <w:rFonts w:ascii="Verdana" w:eastAsia="Times New Roman" w:hAnsi="Verdana" w:cs="Times New Roman"/>
                <w:b/>
                <w:bCs/>
                <w:color w:val="505050"/>
                <w:sz w:val="15"/>
                <w:szCs w:val="15"/>
                <w:u w:val="single"/>
              </w:rPr>
            </w:pPr>
            <w:bookmarkStart w:id="58" w:name="1000000"/>
            <w:r w:rsidRPr="00D72C32">
              <w:rPr>
                <w:rFonts w:ascii="Verdana" w:eastAsia="Times New Roman" w:hAnsi="Verdana" w:cs="Times New Roman"/>
                <w:b/>
                <w:bCs/>
                <w:color w:val="0000FF"/>
                <w:sz w:val="15"/>
                <w:szCs w:val="15"/>
              </w:rPr>
              <w:t>9.1 Recent</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A22639" w:rsidRDefault="00D72C32" w:rsidP="00A22639">
            <w:pPr>
              <w:shd w:val="clear" w:color="auto" w:fill="E3E4FA"/>
              <w:spacing w:after="0" w:line="240" w:lineRule="auto"/>
              <w:rPr>
                <w:rFonts w:ascii="Verdana" w:eastAsia="Times New Roman" w:hAnsi="Verdana" w:cs="Times New Roman"/>
                <w:b/>
                <w:bCs/>
                <w:color w:val="0000FF"/>
                <w:sz w:val="15"/>
                <w:szCs w:val="15"/>
              </w:rPr>
            </w:pPr>
            <w:bookmarkStart w:id="59" w:name="1011000"/>
            <w:r w:rsidRPr="00A22639">
              <w:rPr>
                <w:rFonts w:ascii="Verdana" w:eastAsia="Times New Roman" w:hAnsi="Verdana" w:cs="Times New Roman"/>
                <w:b/>
                <w:bCs/>
                <w:color w:val="0000FF"/>
                <w:sz w:val="15"/>
                <w:szCs w:val="15"/>
              </w:rPr>
              <w:t>Plans for improvement - Recent improvements</w:t>
            </w:r>
          </w:p>
          <w:bookmarkEnd w:id="59"/>
          <w:p w:rsidR="00D72C32" w:rsidRPr="00A22639" w:rsidRDefault="00D72C32" w:rsidP="00A22639">
            <w:pPr>
              <w:spacing w:after="0" w:line="240" w:lineRule="auto"/>
              <w:rPr>
                <w:rFonts w:ascii="Verdana" w:eastAsia="Times New Roman" w:hAnsi="Verdana" w:cs="Times New Roman"/>
                <w:color w:val="000000"/>
                <w:sz w:val="15"/>
                <w:szCs w:val="15"/>
              </w:rPr>
            </w:pPr>
          </w:p>
          <w:p w:rsidR="00D72C32" w:rsidRPr="00A22639" w:rsidRDefault="00D72C32" w:rsidP="00A22639">
            <w:pPr>
              <w:spacing w:after="0" w:line="240" w:lineRule="auto"/>
              <w:rPr>
                <w:rFonts w:ascii="Verdana" w:eastAsia="Times New Roman" w:hAnsi="Verdana" w:cs="Times New Roman"/>
                <w:color w:val="000000"/>
                <w:sz w:val="15"/>
                <w:szCs w:val="15"/>
              </w:rPr>
            </w:pPr>
            <w:r w:rsidRPr="00A22639">
              <w:rPr>
                <w:rFonts w:ascii="Verdana" w:eastAsia="Times New Roman" w:hAnsi="Verdana" w:cs="Times New Roman"/>
                <w:b/>
                <w:bCs/>
                <w:color w:val="000000"/>
                <w:sz w:val="15"/>
                <w:szCs w:val="15"/>
                <w:u w:val="single"/>
              </w:rPr>
              <w:t>Bank of Namibia</w:t>
            </w:r>
          </w:p>
          <w:p w:rsidR="00A22639" w:rsidRDefault="00A22639" w:rsidP="002E3BF3">
            <w:pPr>
              <w:spacing w:line="240" w:lineRule="auto"/>
              <w:rPr>
                <w:rFonts w:ascii="Verdana" w:eastAsia="Times New Roman" w:hAnsi="Verdana" w:cs="Times New Roman"/>
                <w:sz w:val="15"/>
                <w:szCs w:val="15"/>
              </w:rPr>
            </w:pPr>
            <w:r w:rsidRPr="00A22639">
              <w:rPr>
                <w:rFonts w:ascii="Verdana" w:eastAsia="Times New Roman" w:hAnsi="Verdana" w:cs="Times New Roman"/>
                <w:color w:val="000000"/>
                <w:sz w:val="15"/>
                <w:szCs w:val="15"/>
              </w:rPr>
              <w:t xml:space="preserve">1. </w:t>
            </w:r>
            <w:r w:rsidRPr="00A22639">
              <w:rPr>
                <w:rFonts w:ascii="Verdana" w:eastAsia="Times New Roman" w:hAnsi="Verdana" w:cs="Times New Roman"/>
                <w:sz w:val="15"/>
                <w:szCs w:val="15"/>
              </w:rPr>
              <w:t xml:space="preserve"> Migration to BPM6 with the launch of the June 2017 QB</w:t>
            </w:r>
            <w:r w:rsidRPr="00A22639">
              <w:rPr>
                <w:rFonts w:ascii="Verdana" w:eastAsia="Times New Roman" w:hAnsi="Verdana" w:cs="Times New Roman"/>
                <w:sz w:val="15"/>
                <w:szCs w:val="15"/>
              </w:rPr>
              <w:br/>
              <w:t>2.  Introduction of a comprehensive enterprise quarterly survey to capture more items win accordance with BPM6 standards</w:t>
            </w:r>
            <w:r w:rsidRPr="00A22639">
              <w:rPr>
                <w:rFonts w:ascii="Verdana" w:eastAsia="Times New Roman" w:hAnsi="Verdana" w:cs="Times New Roman"/>
                <w:sz w:val="15"/>
                <w:szCs w:val="15"/>
              </w:rPr>
              <w:br/>
              <w:t>3. Roll-out of Insurance survey to capture insurance related transaction as per BPM6 guidelines.</w:t>
            </w:r>
          </w:p>
          <w:p w:rsidR="00A22639" w:rsidRDefault="00A22639" w:rsidP="002E3BF3">
            <w:pPr>
              <w:spacing w:line="240" w:lineRule="auto"/>
              <w:rPr>
                <w:rFonts w:ascii="Verdana" w:eastAsia="Times New Roman" w:hAnsi="Verdana" w:cs="Times New Roman"/>
                <w:sz w:val="15"/>
                <w:szCs w:val="15"/>
              </w:rPr>
            </w:pPr>
            <w:r w:rsidRPr="00A22639">
              <w:rPr>
                <w:rFonts w:ascii="Verdana" w:eastAsia="Times New Roman" w:hAnsi="Verdana" w:cs="Times New Roman"/>
                <w:bCs/>
                <w:sz w:val="15"/>
                <w:szCs w:val="15"/>
              </w:rPr>
              <w:t>4. Updated internal BOP and IIP Manuals</w:t>
            </w:r>
          </w:p>
          <w:p w:rsidR="00A22639" w:rsidRPr="00A22639" w:rsidRDefault="00A22639" w:rsidP="002E3BF3">
            <w:pPr>
              <w:spacing w:line="240" w:lineRule="auto"/>
              <w:rPr>
                <w:rFonts w:ascii="Verdana" w:eastAsia="Times New Roman" w:hAnsi="Verdana" w:cs="Times New Roman"/>
                <w:sz w:val="15"/>
                <w:szCs w:val="15"/>
              </w:rPr>
            </w:pPr>
            <w:r w:rsidRPr="00A22639">
              <w:rPr>
                <w:rFonts w:ascii="Verdana" w:eastAsia="Times New Roman" w:hAnsi="Verdana" w:cs="Times New Roman"/>
                <w:bCs/>
                <w:sz w:val="15"/>
                <w:szCs w:val="15"/>
              </w:rPr>
              <w:t xml:space="preserve">5. </w:t>
            </w:r>
            <w:r w:rsidR="002E3BF3">
              <w:rPr>
                <w:rFonts w:ascii="Verdana" w:eastAsia="Times New Roman" w:hAnsi="Verdana" w:cs="Times New Roman"/>
                <w:bCs/>
                <w:sz w:val="15"/>
                <w:szCs w:val="15"/>
              </w:rPr>
              <w:t>Held s</w:t>
            </w:r>
            <w:r w:rsidRPr="00A22639">
              <w:rPr>
                <w:rFonts w:ascii="Verdana" w:eastAsia="Times New Roman" w:hAnsi="Verdana" w:cs="Times New Roman"/>
                <w:bCs/>
                <w:sz w:val="15"/>
                <w:szCs w:val="15"/>
              </w:rPr>
              <w:t>takeholder workshops with users and data respondents to sensitize them of the changes in data emanating from the migration.</w:t>
            </w:r>
          </w:p>
          <w:p w:rsidR="00D72C32" w:rsidRPr="00A22639" w:rsidRDefault="00A22639" w:rsidP="002E3BF3">
            <w:pPr>
              <w:spacing w:after="0" w:line="240" w:lineRule="auto"/>
              <w:rPr>
                <w:rFonts w:ascii="Verdana" w:eastAsia="Times New Roman" w:hAnsi="Verdana" w:cs="Times New Roman"/>
                <w:bCs/>
                <w:sz w:val="15"/>
                <w:szCs w:val="15"/>
              </w:rPr>
            </w:pPr>
            <w:r w:rsidRPr="00A22639">
              <w:rPr>
                <w:rFonts w:ascii="Verdana" w:eastAsia="Times New Roman" w:hAnsi="Verdana" w:cs="Times New Roman"/>
                <w:bCs/>
                <w:sz w:val="15"/>
                <w:szCs w:val="15"/>
              </w:rPr>
              <w:t>6.  Designed and disseminated balance of payments revision note prior to migration on the Bank’s website and Annual Report publication.</w:t>
            </w:r>
          </w:p>
          <w:p w:rsidR="00D72C32" w:rsidRPr="00A22639" w:rsidRDefault="00D72C32" w:rsidP="00A22639">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9.2 General</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60" w:name="1021000"/>
            <w:r w:rsidRPr="00D72C32">
              <w:rPr>
                <w:rFonts w:ascii="Verdana" w:eastAsia="Times New Roman" w:hAnsi="Verdana" w:cs="Times New Roman"/>
                <w:b/>
                <w:bCs/>
                <w:color w:val="0000FF"/>
                <w:sz w:val="15"/>
                <w:szCs w:val="15"/>
              </w:rPr>
              <w:t>Plans for improvement - Short-term</w:t>
            </w:r>
          </w:p>
          <w:bookmarkEnd w:id="60"/>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A22639" w:rsidRDefault="00A22639"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1.</w:t>
            </w:r>
            <w:r w:rsidR="00D72C32" w:rsidRPr="00A22639">
              <w:rPr>
                <w:rFonts w:ascii="Verdana" w:eastAsia="Times New Roman" w:hAnsi="Verdana" w:cs="Times New Roman"/>
                <w:color w:val="000000"/>
                <w:sz w:val="15"/>
                <w:szCs w:val="15"/>
              </w:rPr>
              <w:t>Posting revision policy on the BON's website.</w:t>
            </w:r>
            <w:r w:rsidRPr="00D72C32">
              <w:rPr>
                <w:rFonts w:ascii="Verdana" w:eastAsia="Times New Roman" w:hAnsi="Verdana" w:cs="Times New Roman"/>
                <w:color w:val="000000"/>
                <w:sz w:val="15"/>
                <w:szCs w:val="15"/>
              </w:rPr>
              <w:t xml:space="preserve"> </w:t>
            </w:r>
          </w:p>
          <w:p w:rsidR="00D72C32" w:rsidRDefault="00A22639"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 xml:space="preserve">2. </w:t>
            </w:r>
            <w:r w:rsidRPr="00D72C32">
              <w:rPr>
                <w:rFonts w:ascii="Verdana" w:eastAsia="Times New Roman" w:hAnsi="Verdana" w:cs="Times New Roman"/>
                <w:color w:val="000000"/>
                <w:sz w:val="15"/>
                <w:szCs w:val="15"/>
              </w:rPr>
              <w:t>Posting the Release Calendar and Revision Policy on the Bank's website.</w:t>
            </w:r>
          </w:p>
          <w:p w:rsidR="007271E7"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3</w:t>
            </w:r>
            <w:r w:rsidRPr="007271E7">
              <w:rPr>
                <w:rFonts w:ascii="Verdana" w:eastAsia="Times New Roman" w:hAnsi="Verdana" w:cs="Times New Roman"/>
                <w:color w:val="000000"/>
                <w:sz w:val="15"/>
                <w:szCs w:val="15"/>
              </w:rPr>
              <w:t>. To have a document on sources and methods on how to compile the BOP and IIP and the dissemination to the public.</w:t>
            </w:r>
          </w:p>
          <w:p w:rsidR="00A22639"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4</w:t>
            </w:r>
            <w:r w:rsidR="00A22639">
              <w:rPr>
                <w:rFonts w:ascii="Verdana" w:eastAsia="Times New Roman" w:hAnsi="Verdana" w:cs="Times New Roman"/>
                <w:color w:val="000000"/>
                <w:sz w:val="15"/>
                <w:szCs w:val="15"/>
              </w:rPr>
              <w:t xml:space="preserve">. </w:t>
            </w:r>
            <w:r w:rsidR="00A22639" w:rsidRPr="00A22639">
              <w:rPr>
                <w:rFonts w:ascii="Verdana" w:eastAsia="Times New Roman" w:hAnsi="Verdana" w:cs="Times New Roman"/>
                <w:color w:val="000000"/>
                <w:sz w:val="15"/>
                <w:szCs w:val="15"/>
              </w:rPr>
              <w:t>The response rate of the quarterly surveys is hovering around 60 per cent and one of the priorities for future improvement would be to increase the resp</w:t>
            </w:r>
            <w:r w:rsidR="00A22639">
              <w:rPr>
                <w:rFonts w:ascii="Verdana" w:eastAsia="Times New Roman" w:hAnsi="Verdana" w:cs="Times New Roman"/>
                <w:color w:val="000000"/>
                <w:sz w:val="15"/>
                <w:szCs w:val="15"/>
              </w:rPr>
              <w:t>onse rate to around 70 per cent.</w:t>
            </w:r>
          </w:p>
          <w:p w:rsidR="00A22639" w:rsidRPr="00A22639"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5</w:t>
            </w:r>
            <w:r w:rsidR="00A22639">
              <w:rPr>
                <w:rFonts w:ascii="Verdana" w:eastAsia="Times New Roman" w:hAnsi="Verdana" w:cs="Times New Roman"/>
                <w:color w:val="000000"/>
                <w:sz w:val="15"/>
                <w:szCs w:val="15"/>
              </w:rPr>
              <w:t xml:space="preserve">. </w:t>
            </w:r>
            <w:r w:rsidR="00A22639" w:rsidRPr="00A22639">
              <w:rPr>
                <w:rFonts w:ascii="Verdana" w:eastAsia="Times New Roman" w:hAnsi="Verdana" w:cs="Times New Roman"/>
                <w:color w:val="000000"/>
                <w:sz w:val="15"/>
                <w:szCs w:val="15"/>
              </w:rPr>
              <w:t>Ensure consistency of balance of payments and International Investment Position.</w:t>
            </w:r>
          </w:p>
          <w:p w:rsidR="00A22639"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6</w:t>
            </w:r>
            <w:r w:rsidR="00A22639">
              <w:rPr>
                <w:rFonts w:ascii="Verdana" w:eastAsia="Times New Roman" w:hAnsi="Verdana" w:cs="Times New Roman"/>
                <w:color w:val="000000"/>
                <w:sz w:val="15"/>
                <w:szCs w:val="15"/>
              </w:rPr>
              <w:t xml:space="preserve">. </w:t>
            </w:r>
            <w:r w:rsidR="00A22639" w:rsidRPr="00A22639">
              <w:rPr>
                <w:rFonts w:ascii="Verdana" w:eastAsia="Times New Roman" w:hAnsi="Verdana" w:cs="Times New Roman"/>
                <w:color w:val="000000"/>
                <w:sz w:val="15"/>
                <w:szCs w:val="15"/>
              </w:rPr>
              <w:t>Develop sample coverage/estimation procedures for small enterprises.</w:t>
            </w:r>
          </w:p>
          <w:p w:rsidR="007271E7"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7</w:t>
            </w:r>
            <w:r w:rsidRPr="007271E7">
              <w:rPr>
                <w:rFonts w:ascii="Verdana" w:eastAsia="Times New Roman" w:hAnsi="Verdana" w:cs="Times New Roman"/>
                <w:color w:val="000000"/>
                <w:sz w:val="15"/>
                <w:szCs w:val="15"/>
              </w:rPr>
              <w:t>. To continue to fill identified data gaps.</w:t>
            </w:r>
          </w:p>
          <w:p w:rsidR="007271E7" w:rsidRPr="00A22639"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8</w:t>
            </w:r>
            <w:r w:rsidRPr="007271E7">
              <w:rPr>
                <w:rFonts w:ascii="Verdana" w:eastAsia="Times New Roman" w:hAnsi="Verdana" w:cs="Times New Roman"/>
                <w:color w:val="000000"/>
                <w:sz w:val="15"/>
                <w:szCs w:val="15"/>
              </w:rPr>
              <w:t>. To expand data coverage through new data sources</w:t>
            </w:r>
          </w:p>
          <w:p w:rsidR="00A22639" w:rsidRPr="00A22639"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9</w:t>
            </w:r>
            <w:r w:rsidR="00A22639">
              <w:rPr>
                <w:rFonts w:ascii="Verdana" w:eastAsia="Times New Roman" w:hAnsi="Verdana" w:cs="Times New Roman"/>
                <w:color w:val="000000"/>
                <w:sz w:val="15"/>
                <w:szCs w:val="15"/>
              </w:rPr>
              <w:t xml:space="preserve">. </w:t>
            </w:r>
            <w:r w:rsidR="00A22639" w:rsidRPr="00A22639">
              <w:rPr>
                <w:rFonts w:ascii="Verdana" w:eastAsia="Times New Roman" w:hAnsi="Verdana" w:cs="Times New Roman"/>
                <w:color w:val="000000"/>
                <w:sz w:val="15"/>
                <w:szCs w:val="15"/>
              </w:rPr>
              <w:t>Improve coverage of Direct Investment abroad and Portfolio investment into Namibia (private sector)</w:t>
            </w:r>
          </w:p>
          <w:p w:rsidR="00A22639" w:rsidRPr="00A22639"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10</w:t>
            </w:r>
            <w:r w:rsidR="00A22639">
              <w:rPr>
                <w:rFonts w:ascii="Verdana" w:eastAsia="Times New Roman" w:hAnsi="Verdana" w:cs="Times New Roman"/>
                <w:color w:val="000000"/>
                <w:sz w:val="15"/>
                <w:szCs w:val="15"/>
              </w:rPr>
              <w:t>.</w:t>
            </w:r>
            <w:r w:rsidR="00A22639" w:rsidRPr="00A22639">
              <w:rPr>
                <w:rFonts w:ascii="Verdana" w:eastAsia="Times New Roman" w:hAnsi="Verdana" w:cs="Times New Roman"/>
                <w:color w:val="000000"/>
                <w:sz w:val="15"/>
                <w:szCs w:val="15"/>
              </w:rPr>
              <w:t xml:space="preserve"> Improve coverage of portfolio investments.</w:t>
            </w:r>
          </w:p>
          <w:p w:rsidR="00D72C32" w:rsidRPr="007271E7"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11</w:t>
            </w:r>
            <w:r w:rsidR="00A22639">
              <w:rPr>
                <w:rFonts w:ascii="Verdana" w:eastAsia="Times New Roman" w:hAnsi="Verdana" w:cs="Times New Roman"/>
                <w:color w:val="000000"/>
                <w:sz w:val="15"/>
                <w:szCs w:val="15"/>
              </w:rPr>
              <w:t xml:space="preserve">. </w:t>
            </w:r>
            <w:r w:rsidR="00A22639" w:rsidRPr="00A22639">
              <w:rPr>
                <w:rFonts w:ascii="Verdana" w:eastAsia="Times New Roman" w:hAnsi="Verdana" w:cs="Times New Roman"/>
                <w:color w:val="000000"/>
                <w:sz w:val="15"/>
                <w:szCs w:val="15"/>
              </w:rPr>
              <w:t>Improve coverage on all types of balance of payments surveys.</w:t>
            </w:r>
            <w:bookmarkStart w:id="61" w:name="Text_1021000"/>
            <w:bookmarkStart w:id="62" w:name="1022000"/>
            <w:bookmarkEnd w:id="61"/>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Plans for improvement - Medium-term</w:t>
            </w:r>
          </w:p>
          <w:bookmarkEnd w:id="62"/>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Default="00D72C32" w:rsidP="00D72C32">
            <w:pPr>
              <w:spacing w:after="0" w:line="240" w:lineRule="auto"/>
              <w:rPr>
                <w:rFonts w:ascii="Verdana" w:eastAsia="Times New Roman" w:hAnsi="Verdana" w:cs="Times New Roman"/>
                <w:b/>
                <w:bCs/>
                <w:color w:val="000000"/>
                <w:sz w:val="15"/>
                <w:szCs w:val="15"/>
                <w:u w:val="single"/>
              </w:rPr>
            </w:pPr>
            <w:r w:rsidRPr="00D72C32">
              <w:rPr>
                <w:rFonts w:ascii="Verdana" w:eastAsia="Times New Roman" w:hAnsi="Verdana" w:cs="Times New Roman"/>
                <w:b/>
                <w:bCs/>
                <w:color w:val="000000"/>
                <w:sz w:val="15"/>
                <w:szCs w:val="15"/>
                <w:u w:val="single"/>
              </w:rPr>
              <w:t>Balance of payments</w:t>
            </w:r>
          </w:p>
          <w:p w:rsidR="007271E7" w:rsidRPr="00D72C32" w:rsidRDefault="007271E7" w:rsidP="00D72C32">
            <w:pPr>
              <w:spacing w:after="0" w:line="240" w:lineRule="auto"/>
              <w:rPr>
                <w:rFonts w:ascii="Verdana" w:eastAsia="Times New Roman" w:hAnsi="Verdana" w:cs="Times New Roman"/>
                <w:color w:val="000000"/>
                <w:sz w:val="15"/>
                <w:szCs w:val="15"/>
              </w:rPr>
            </w:pPr>
          </w:p>
          <w:p w:rsidR="007271E7" w:rsidRDefault="007271E7" w:rsidP="007271E7">
            <w:pPr>
              <w:pStyle w:val="ListParagraph"/>
              <w:numPr>
                <w:ilvl w:val="0"/>
                <w:numId w:val="2"/>
              </w:numPr>
              <w:spacing w:after="0" w:line="240" w:lineRule="auto"/>
              <w:rPr>
                <w:rFonts w:ascii="Verdana" w:eastAsia="Times New Roman" w:hAnsi="Verdana" w:cs="Times New Roman"/>
                <w:color w:val="000000"/>
                <w:sz w:val="15"/>
                <w:szCs w:val="15"/>
              </w:rPr>
            </w:pPr>
            <w:r w:rsidRPr="007271E7">
              <w:rPr>
                <w:rFonts w:ascii="Verdana" w:eastAsia="Times New Roman" w:hAnsi="Verdana" w:cs="Times New Roman"/>
                <w:color w:val="000000"/>
                <w:sz w:val="15"/>
                <w:szCs w:val="15"/>
              </w:rPr>
              <w:t xml:space="preserve">Participation in the Coordinated Direct Investment Survey (CDIS) </w:t>
            </w:r>
          </w:p>
          <w:p w:rsidR="007271E7" w:rsidRPr="007271E7" w:rsidRDefault="007271E7" w:rsidP="00D72C32">
            <w:pPr>
              <w:pStyle w:val="ListParagraph"/>
              <w:numPr>
                <w:ilvl w:val="0"/>
                <w:numId w:val="2"/>
              </w:numPr>
              <w:spacing w:after="0"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Compile and disseminate an Integrated International Investment Position (IIP) Statement</w:t>
            </w:r>
          </w:p>
          <w:p w:rsidR="00D72C32" w:rsidRPr="00D72C32" w:rsidRDefault="007271E7"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 </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lastRenderedPageBreak/>
              <w:t>9.3 Financial</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63" w:name="1031000"/>
            <w:r w:rsidRPr="00D72C32">
              <w:rPr>
                <w:rFonts w:ascii="Verdana" w:eastAsia="Times New Roman" w:hAnsi="Verdana" w:cs="Times New Roman"/>
                <w:b/>
                <w:bCs/>
                <w:color w:val="0000FF"/>
                <w:sz w:val="15"/>
                <w:szCs w:val="15"/>
              </w:rPr>
              <w:t>Plans for improvement - TA/financing needs - Short-term</w:t>
            </w:r>
          </w:p>
          <w:bookmarkEnd w:id="63"/>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Balance of payments</w:t>
            </w:r>
          </w:p>
          <w:p w:rsidR="00D72C32" w:rsidRPr="00393A9D"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br/>
            </w:r>
            <w:r w:rsidR="00393A9D">
              <w:rPr>
                <w:rFonts w:ascii="Verdana" w:eastAsia="Times New Roman" w:hAnsi="Verdana" w:cs="Times New Roman"/>
                <w:color w:val="000000"/>
                <w:sz w:val="15"/>
                <w:szCs w:val="15"/>
              </w:rPr>
              <w:t>T</w:t>
            </w:r>
            <w:r w:rsidRPr="00D72C32">
              <w:rPr>
                <w:rFonts w:ascii="Verdana" w:eastAsia="Times New Roman" w:hAnsi="Verdana" w:cs="Times New Roman"/>
                <w:color w:val="000000"/>
                <w:sz w:val="15"/>
                <w:szCs w:val="15"/>
              </w:rPr>
              <w:t xml:space="preserve">here are financing needs in terms of compiling staff visiting their counterparts in other countries to share their experiences and to learn from each other on how to handle some issues that are specific to the region. </w:t>
            </w:r>
            <w:bookmarkStart w:id="64" w:name="103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Plans for improvement - TA/financing needs - Medium-term</w:t>
            </w:r>
          </w:p>
          <w:bookmarkEnd w:id="64"/>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Balance of payments</w:t>
            </w:r>
          </w:p>
          <w:p w:rsid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For funding agencies to hold regular fully funded workshops where data issues are discussed.</w:t>
            </w:r>
          </w:p>
          <w:p w:rsidR="003D3812" w:rsidRPr="00D72C32" w:rsidRDefault="003D3812" w:rsidP="00D72C32">
            <w:pPr>
              <w:spacing w:before="100" w:beforeAutospacing="1" w:after="100" w:afterAutospacing="1" w:line="240" w:lineRule="auto"/>
              <w:rPr>
                <w:rFonts w:ascii="Verdana" w:eastAsia="Times New Roman" w:hAnsi="Verdana" w:cs="Times New Roman"/>
                <w:color w:val="000000"/>
                <w:sz w:val="15"/>
                <w:szCs w:val="15"/>
              </w:rPr>
            </w:pPr>
          </w:p>
        </w:tc>
      </w:tr>
      <w:tr w:rsidR="00A22639" w:rsidRPr="00D72C32" w:rsidTr="00A22639">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tcPr>
          <w:p w:rsidR="00A22639" w:rsidRPr="00D72C32" w:rsidRDefault="00A22639" w:rsidP="00D72C32">
            <w:pPr>
              <w:shd w:val="clear" w:color="auto" w:fill="E3E4FA"/>
              <w:spacing w:after="0" w:line="240" w:lineRule="auto"/>
              <w:rPr>
                <w:rFonts w:ascii="Verdana" w:eastAsia="Times New Roman" w:hAnsi="Verdana" w:cs="Times New Roman"/>
                <w:b/>
                <w:bCs/>
                <w:color w:val="0000FF"/>
                <w:sz w:val="15"/>
                <w:szCs w:val="15"/>
              </w:rPr>
            </w:pPr>
            <w:r>
              <w:rPr>
                <w:rFonts w:ascii="Verdana" w:eastAsia="Times New Roman" w:hAnsi="Verdana" w:cs="Times New Roman"/>
                <w:b/>
                <w:bCs/>
                <w:color w:val="0000FF"/>
                <w:sz w:val="15"/>
                <w:szCs w:val="15"/>
              </w:rPr>
              <w:t>9.4 Contact Person (s)</w:t>
            </w:r>
          </w:p>
        </w:tc>
        <w:tc>
          <w:tcPr>
            <w:tcW w:w="0" w:type="auto"/>
            <w:tcBorders>
              <w:top w:val="single" w:sz="6" w:space="0" w:color="7F7F7F"/>
              <w:left w:val="single" w:sz="6" w:space="0" w:color="7F7F7F"/>
              <w:bottom w:val="single" w:sz="6" w:space="0" w:color="7F7F7F"/>
              <w:right w:val="single" w:sz="6" w:space="0" w:color="7F7F7F"/>
            </w:tcBorders>
            <w:shd w:val="clear" w:color="auto" w:fill="auto"/>
            <w:tcMar>
              <w:top w:w="0" w:type="dxa"/>
              <w:left w:w="30" w:type="dxa"/>
              <w:bottom w:w="0" w:type="dxa"/>
              <w:right w:w="0" w:type="dxa"/>
            </w:tcMar>
          </w:tcPr>
          <w:p w:rsidR="00A22639" w:rsidRDefault="00A22639" w:rsidP="00D72C32">
            <w:pPr>
              <w:shd w:val="clear" w:color="auto" w:fill="E3E4FA"/>
              <w:spacing w:after="0" w:line="240" w:lineRule="auto"/>
              <w:rPr>
                <w:rFonts w:ascii="Verdana" w:eastAsia="Times New Roman" w:hAnsi="Verdana" w:cs="Times New Roman"/>
                <w:b/>
                <w:bCs/>
                <w:color w:val="0000FF"/>
                <w:sz w:val="15"/>
                <w:szCs w:val="15"/>
              </w:rPr>
            </w:pPr>
            <w:r>
              <w:rPr>
                <w:rFonts w:ascii="Verdana" w:eastAsia="Times New Roman" w:hAnsi="Verdana" w:cs="Times New Roman"/>
                <w:b/>
                <w:bCs/>
                <w:color w:val="0000FF"/>
                <w:sz w:val="15"/>
                <w:szCs w:val="15"/>
              </w:rPr>
              <w:t>Contact 1:</w:t>
            </w:r>
          </w:p>
          <w:p w:rsidR="00A22639" w:rsidRDefault="00A22639" w:rsidP="00D72C32">
            <w:pPr>
              <w:shd w:val="clear" w:color="auto" w:fill="E3E4FA"/>
              <w:spacing w:after="0" w:line="240" w:lineRule="auto"/>
              <w:rPr>
                <w:rFonts w:ascii="Verdana" w:eastAsia="Times New Roman" w:hAnsi="Verdana" w:cs="Times New Roman"/>
                <w:b/>
                <w:bCs/>
                <w:color w:val="0000FF"/>
                <w:sz w:val="15"/>
                <w:szCs w:val="15"/>
              </w:rPr>
            </w:pP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First name/Last name</w:t>
            </w:r>
            <w:r w:rsidR="002E3BF3">
              <w:rPr>
                <w:rFonts w:ascii="Verdana" w:eastAsia="Times New Roman" w:hAnsi="Verdana" w:cs="Times New Roman"/>
                <w:b/>
                <w:bCs/>
                <w:sz w:val="15"/>
                <w:szCs w:val="15"/>
              </w:rPr>
              <w:t xml:space="preserve">                        </w:t>
            </w:r>
            <w:proofErr w:type="spellStart"/>
            <w:r w:rsidR="002E3BF3" w:rsidRPr="002E3BF3">
              <w:rPr>
                <w:rFonts w:ascii="Verdana" w:eastAsia="Times New Roman" w:hAnsi="Verdana" w:cs="Times New Roman"/>
                <w:bCs/>
                <w:sz w:val="15"/>
                <w:szCs w:val="15"/>
              </w:rPr>
              <w:t>Sanette</w:t>
            </w:r>
            <w:proofErr w:type="spellEnd"/>
            <w:r w:rsidR="002E3BF3" w:rsidRPr="002E3BF3">
              <w:rPr>
                <w:rFonts w:ascii="Verdana" w:eastAsia="Times New Roman" w:hAnsi="Verdana" w:cs="Times New Roman"/>
                <w:bCs/>
                <w:sz w:val="15"/>
                <w:szCs w:val="15"/>
              </w:rPr>
              <w:t xml:space="preserve"> Schulze </w:t>
            </w:r>
            <w:proofErr w:type="spellStart"/>
            <w:r w:rsidR="002E3BF3" w:rsidRPr="002E3BF3">
              <w:rPr>
                <w:rFonts w:ascii="Verdana" w:eastAsia="Times New Roman" w:hAnsi="Verdana" w:cs="Times New Roman"/>
                <w:bCs/>
                <w:sz w:val="15"/>
                <w:szCs w:val="15"/>
              </w:rPr>
              <w:t>Struchtrup</w:t>
            </w:r>
            <w:proofErr w:type="spellEnd"/>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Title</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Deputy Director</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Division</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Statistics</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Department</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 xml:space="preserve"> Research</w:t>
            </w:r>
            <w:r w:rsidR="002E3BF3">
              <w:rPr>
                <w:rFonts w:ascii="Verdana" w:eastAsia="Times New Roman" w:hAnsi="Verdana" w:cs="Times New Roman"/>
                <w:b/>
                <w:bCs/>
                <w:sz w:val="15"/>
                <w:szCs w:val="15"/>
              </w:rPr>
              <w:t xml:space="preserve">                                         </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Agency</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Bank of Namibia</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Address</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P.O. Box 2882</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lastRenderedPageBreak/>
              <w:t>City/State</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Windhoek</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Country</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Namibia</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Phone</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+264612835022</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Email</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Sanette.Schulze.Struchtrup@bon.com.na</w:t>
            </w:r>
          </w:p>
          <w:p w:rsidR="00A22639" w:rsidRPr="00A22639" w:rsidRDefault="00A22639" w:rsidP="00D72C32">
            <w:pPr>
              <w:shd w:val="clear" w:color="auto" w:fill="E3E4FA"/>
              <w:spacing w:after="0" w:line="240" w:lineRule="auto"/>
              <w:rPr>
                <w:rFonts w:ascii="Verdana" w:eastAsia="Times New Roman" w:hAnsi="Verdana" w:cs="Times New Roman"/>
                <w:b/>
                <w:bCs/>
                <w:color w:val="0000FF"/>
                <w:sz w:val="15"/>
                <w:szCs w:val="15"/>
              </w:rPr>
            </w:pPr>
          </w:p>
          <w:p w:rsidR="00A22639" w:rsidRPr="00A22639" w:rsidRDefault="00A22639" w:rsidP="00D72C32">
            <w:pPr>
              <w:shd w:val="clear" w:color="auto" w:fill="E3E4FA"/>
              <w:spacing w:after="0" w:line="240" w:lineRule="auto"/>
              <w:rPr>
                <w:rFonts w:ascii="Verdana" w:eastAsia="Times New Roman" w:hAnsi="Verdana" w:cs="Times New Roman"/>
                <w:b/>
                <w:bCs/>
                <w:color w:val="0000FF"/>
                <w:sz w:val="15"/>
                <w:szCs w:val="15"/>
              </w:rPr>
            </w:pPr>
          </w:p>
          <w:p w:rsidR="00A22639" w:rsidRPr="00A22639" w:rsidRDefault="00A22639" w:rsidP="00D72C32">
            <w:pPr>
              <w:shd w:val="clear" w:color="auto" w:fill="E3E4FA"/>
              <w:spacing w:after="0" w:line="240" w:lineRule="auto"/>
              <w:rPr>
                <w:rFonts w:ascii="Verdana" w:eastAsia="Times New Roman" w:hAnsi="Verdana" w:cs="Times New Roman"/>
                <w:b/>
                <w:bCs/>
                <w:color w:val="0000FF"/>
                <w:sz w:val="15"/>
                <w:szCs w:val="15"/>
              </w:rPr>
            </w:pPr>
          </w:p>
          <w:p w:rsidR="00A22639" w:rsidRPr="00A22639" w:rsidRDefault="00A22639" w:rsidP="00D72C32">
            <w:pPr>
              <w:shd w:val="clear" w:color="auto" w:fill="E3E4FA"/>
              <w:spacing w:after="0" w:line="240" w:lineRule="auto"/>
              <w:rPr>
                <w:rFonts w:ascii="Verdana" w:eastAsia="Times New Roman" w:hAnsi="Verdana" w:cs="Times New Roman"/>
                <w:b/>
                <w:bCs/>
                <w:color w:val="0000FF"/>
                <w:sz w:val="15"/>
                <w:szCs w:val="15"/>
              </w:rPr>
            </w:pPr>
          </w:p>
          <w:p w:rsidR="002E3BF3" w:rsidRDefault="002E3BF3" w:rsidP="002E3BF3">
            <w:pPr>
              <w:shd w:val="clear" w:color="auto" w:fill="E3E4FA"/>
              <w:spacing w:after="0" w:line="240" w:lineRule="auto"/>
              <w:rPr>
                <w:rFonts w:ascii="Verdana" w:eastAsia="Times New Roman" w:hAnsi="Verdana" w:cs="Times New Roman"/>
                <w:b/>
                <w:bCs/>
                <w:color w:val="0000FF"/>
                <w:sz w:val="15"/>
                <w:szCs w:val="15"/>
              </w:rPr>
            </w:pPr>
            <w:r>
              <w:rPr>
                <w:rFonts w:ascii="Verdana" w:eastAsia="Times New Roman" w:hAnsi="Verdana" w:cs="Times New Roman"/>
                <w:b/>
                <w:bCs/>
                <w:color w:val="0000FF"/>
                <w:sz w:val="15"/>
                <w:szCs w:val="15"/>
              </w:rPr>
              <w:t xml:space="preserve">Contact </w:t>
            </w:r>
            <w:r w:rsidR="00434A8D">
              <w:rPr>
                <w:rFonts w:ascii="Verdana" w:eastAsia="Times New Roman" w:hAnsi="Verdana" w:cs="Times New Roman"/>
                <w:b/>
                <w:bCs/>
                <w:color w:val="0000FF"/>
                <w:sz w:val="15"/>
                <w:szCs w:val="15"/>
              </w:rPr>
              <w:t>2</w:t>
            </w:r>
            <w:bookmarkStart w:id="65" w:name="_GoBack"/>
            <w:bookmarkEnd w:id="65"/>
            <w:r>
              <w:rPr>
                <w:rFonts w:ascii="Verdana" w:eastAsia="Times New Roman" w:hAnsi="Verdana" w:cs="Times New Roman"/>
                <w:b/>
                <w:bCs/>
                <w:color w:val="0000FF"/>
                <w:sz w:val="15"/>
                <w:szCs w:val="15"/>
              </w:rPr>
              <w:t>:</w:t>
            </w:r>
          </w:p>
          <w:p w:rsidR="002E3BF3" w:rsidRDefault="002E3BF3" w:rsidP="002E3BF3">
            <w:pPr>
              <w:shd w:val="clear" w:color="auto" w:fill="E3E4FA"/>
              <w:spacing w:after="0" w:line="240" w:lineRule="auto"/>
              <w:rPr>
                <w:rFonts w:ascii="Verdana" w:eastAsia="Times New Roman" w:hAnsi="Verdana" w:cs="Times New Roman"/>
                <w:b/>
                <w:bCs/>
                <w:color w:val="0000FF"/>
                <w:sz w:val="15"/>
                <w:szCs w:val="15"/>
              </w:rPr>
            </w:pP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First name/Last name</w:t>
            </w:r>
            <w:r>
              <w:rPr>
                <w:rFonts w:ascii="Verdana" w:eastAsia="Times New Roman" w:hAnsi="Verdana" w:cs="Times New Roman"/>
                <w:b/>
                <w:bCs/>
                <w:sz w:val="15"/>
                <w:szCs w:val="15"/>
              </w:rPr>
              <w:t xml:space="preserve">                        </w:t>
            </w:r>
            <w:r>
              <w:rPr>
                <w:rFonts w:ascii="Verdana" w:eastAsia="Times New Roman" w:hAnsi="Verdana" w:cs="Times New Roman"/>
                <w:bCs/>
                <w:sz w:val="15"/>
                <w:szCs w:val="15"/>
              </w:rPr>
              <w:t>Abigail Nainda</w:t>
            </w: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Title</w:t>
            </w:r>
            <w:r>
              <w:rPr>
                <w:rFonts w:ascii="Verdana" w:eastAsia="Times New Roman" w:hAnsi="Verdana" w:cs="Times New Roman"/>
                <w:b/>
                <w:bCs/>
                <w:sz w:val="15"/>
                <w:szCs w:val="15"/>
              </w:rPr>
              <w:t xml:space="preserve">                                                     </w:t>
            </w:r>
            <w:r>
              <w:rPr>
                <w:rFonts w:ascii="Verdana" w:eastAsia="Times New Roman" w:hAnsi="Verdana" w:cs="Times New Roman"/>
                <w:bCs/>
                <w:sz w:val="15"/>
                <w:szCs w:val="15"/>
              </w:rPr>
              <w:t>Economist</w:t>
            </w: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Division</w:t>
            </w:r>
            <w:r>
              <w:rPr>
                <w:rFonts w:ascii="Verdana" w:eastAsia="Times New Roman" w:hAnsi="Verdana" w:cs="Times New Roman"/>
                <w:b/>
                <w:bCs/>
                <w:sz w:val="15"/>
                <w:szCs w:val="15"/>
              </w:rPr>
              <w:t xml:space="preserve">                                               </w:t>
            </w:r>
            <w:r w:rsidRPr="002E3BF3">
              <w:rPr>
                <w:rFonts w:ascii="Verdana" w:eastAsia="Times New Roman" w:hAnsi="Verdana" w:cs="Times New Roman"/>
                <w:bCs/>
                <w:sz w:val="15"/>
                <w:szCs w:val="15"/>
              </w:rPr>
              <w:t>Statistics</w:t>
            </w: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Department</w:t>
            </w:r>
            <w:r>
              <w:rPr>
                <w:rFonts w:ascii="Verdana" w:eastAsia="Times New Roman" w:hAnsi="Verdana" w:cs="Times New Roman"/>
                <w:b/>
                <w:bCs/>
                <w:sz w:val="15"/>
                <w:szCs w:val="15"/>
              </w:rPr>
              <w:t xml:space="preserve">                                         </w:t>
            </w:r>
            <w:r w:rsidRPr="002E3BF3">
              <w:rPr>
                <w:rFonts w:ascii="Verdana" w:eastAsia="Times New Roman" w:hAnsi="Verdana" w:cs="Times New Roman"/>
                <w:bCs/>
                <w:sz w:val="15"/>
                <w:szCs w:val="15"/>
              </w:rPr>
              <w:t>Research</w:t>
            </w:r>
            <w:r>
              <w:rPr>
                <w:rFonts w:ascii="Verdana" w:eastAsia="Times New Roman" w:hAnsi="Verdana" w:cs="Times New Roman"/>
                <w:b/>
                <w:bCs/>
                <w:sz w:val="15"/>
                <w:szCs w:val="15"/>
              </w:rPr>
              <w:t xml:space="preserve">                                         </w:t>
            </w: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Agency</w:t>
            </w:r>
            <w:r>
              <w:rPr>
                <w:rFonts w:ascii="Verdana" w:eastAsia="Times New Roman" w:hAnsi="Verdana" w:cs="Times New Roman"/>
                <w:b/>
                <w:bCs/>
                <w:sz w:val="15"/>
                <w:szCs w:val="15"/>
              </w:rPr>
              <w:t xml:space="preserve">                                                 </w:t>
            </w:r>
            <w:r w:rsidRPr="002E3BF3">
              <w:rPr>
                <w:rFonts w:ascii="Verdana" w:eastAsia="Times New Roman" w:hAnsi="Verdana" w:cs="Times New Roman"/>
                <w:bCs/>
                <w:sz w:val="15"/>
                <w:szCs w:val="15"/>
              </w:rPr>
              <w:t>Bank of Namibia</w:t>
            </w: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Address</w:t>
            </w:r>
            <w:r>
              <w:rPr>
                <w:rFonts w:ascii="Verdana" w:eastAsia="Times New Roman" w:hAnsi="Verdana" w:cs="Times New Roman"/>
                <w:b/>
                <w:bCs/>
                <w:sz w:val="15"/>
                <w:szCs w:val="15"/>
              </w:rPr>
              <w:t xml:space="preserve">                                               </w:t>
            </w:r>
            <w:r w:rsidRPr="002E3BF3">
              <w:rPr>
                <w:rFonts w:ascii="Verdana" w:eastAsia="Times New Roman" w:hAnsi="Verdana" w:cs="Times New Roman"/>
                <w:bCs/>
                <w:sz w:val="15"/>
                <w:szCs w:val="15"/>
              </w:rPr>
              <w:t>P.O. Box 2882</w:t>
            </w: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City/State</w:t>
            </w:r>
            <w:r>
              <w:rPr>
                <w:rFonts w:ascii="Verdana" w:eastAsia="Times New Roman" w:hAnsi="Verdana" w:cs="Times New Roman"/>
                <w:b/>
                <w:bCs/>
                <w:sz w:val="15"/>
                <w:szCs w:val="15"/>
              </w:rPr>
              <w:t xml:space="preserve">                                            </w:t>
            </w:r>
            <w:r w:rsidRPr="002E3BF3">
              <w:rPr>
                <w:rFonts w:ascii="Verdana" w:eastAsia="Times New Roman" w:hAnsi="Verdana" w:cs="Times New Roman"/>
                <w:bCs/>
                <w:sz w:val="15"/>
                <w:szCs w:val="15"/>
              </w:rPr>
              <w:t>Windhoek</w:t>
            </w: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Country</w:t>
            </w:r>
            <w:r>
              <w:rPr>
                <w:rFonts w:ascii="Verdana" w:eastAsia="Times New Roman" w:hAnsi="Verdana" w:cs="Times New Roman"/>
                <w:b/>
                <w:bCs/>
                <w:sz w:val="15"/>
                <w:szCs w:val="15"/>
              </w:rPr>
              <w:t xml:space="preserve">                                                </w:t>
            </w:r>
            <w:r w:rsidRPr="002E3BF3">
              <w:rPr>
                <w:rFonts w:ascii="Verdana" w:eastAsia="Times New Roman" w:hAnsi="Verdana" w:cs="Times New Roman"/>
                <w:bCs/>
                <w:sz w:val="15"/>
                <w:szCs w:val="15"/>
              </w:rPr>
              <w:t>Namibia</w:t>
            </w: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Phone</w:t>
            </w:r>
            <w:r>
              <w:rPr>
                <w:rFonts w:ascii="Verdana" w:eastAsia="Times New Roman" w:hAnsi="Verdana" w:cs="Times New Roman"/>
                <w:b/>
                <w:bCs/>
                <w:sz w:val="15"/>
                <w:szCs w:val="15"/>
              </w:rPr>
              <w:t xml:space="preserve">                                                  </w:t>
            </w:r>
            <w:r w:rsidRPr="002E3BF3">
              <w:rPr>
                <w:rFonts w:ascii="Verdana" w:eastAsia="Times New Roman" w:hAnsi="Verdana" w:cs="Times New Roman"/>
                <w:bCs/>
                <w:sz w:val="15"/>
                <w:szCs w:val="15"/>
              </w:rPr>
              <w:t>+264612835</w:t>
            </w:r>
            <w:r>
              <w:rPr>
                <w:rFonts w:ascii="Verdana" w:eastAsia="Times New Roman" w:hAnsi="Verdana" w:cs="Times New Roman"/>
                <w:bCs/>
                <w:sz w:val="15"/>
                <w:szCs w:val="15"/>
              </w:rPr>
              <w:t>138</w:t>
            </w:r>
          </w:p>
          <w:p w:rsidR="002E3BF3" w:rsidRPr="00A22639" w:rsidRDefault="002E3BF3" w:rsidP="002E3BF3">
            <w:pPr>
              <w:shd w:val="clear" w:color="auto" w:fill="E3E4FA"/>
              <w:spacing w:after="0" w:line="240" w:lineRule="auto"/>
              <w:rPr>
                <w:rFonts w:ascii="Verdana" w:eastAsia="Times New Roman" w:hAnsi="Verdana" w:cs="Times New Roman"/>
                <w:b/>
                <w:bCs/>
                <w:color w:val="0000FF"/>
                <w:sz w:val="15"/>
                <w:szCs w:val="15"/>
              </w:rPr>
            </w:pPr>
            <w:r w:rsidRPr="00A22639">
              <w:rPr>
                <w:rFonts w:ascii="Verdana" w:eastAsia="Times New Roman" w:hAnsi="Verdana" w:cs="Times New Roman"/>
                <w:b/>
                <w:bCs/>
                <w:sz w:val="15"/>
                <w:szCs w:val="15"/>
              </w:rPr>
              <w:t>Email</w:t>
            </w:r>
            <w:r>
              <w:rPr>
                <w:rFonts w:ascii="Verdana" w:eastAsia="Times New Roman" w:hAnsi="Verdana" w:cs="Times New Roman"/>
                <w:b/>
                <w:bCs/>
                <w:sz w:val="15"/>
                <w:szCs w:val="15"/>
              </w:rPr>
              <w:t xml:space="preserve">                                                   </w:t>
            </w:r>
            <w:r>
              <w:rPr>
                <w:rFonts w:ascii="Verdana" w:eastAsia="Times New Roman" w:hAnsi="Verdana" w:cs="Times New Roman"/>
                <w:bCs/>
                <w:sz w:val="15"/>
                <w:szCs w:val="15"/>
              </w:rPr>
              <w:t xml:space="preserve"> Abigail.Nainda</w:t>
            </w:r>
            <w:r w:rsidRPr="002E3BF3">
              <w:rPr>
                <w:rFonts w:ascii="Verdana" w:eastAsia="Times New Roman" w:hAnsi="Verdana" w:cs="Times New Roman"/>
                <w:bCs/>
                <w:sz w:val="15"/>
                <w:szCs w:val="15"/>
              </w:rPr>
              <w:t>@bon.com</w:t>
            </w:r>
          </w:p>
          <w:p w:rsidR="00A22639" w:rsidRPr="00A22639" w:rsidRDefault="00A22639" w:rsidP="00D72C32">
            <w:pPr>
              <w:shd w:val="clear" w:color="auto" w:fill="E3E4FA"/>
              <w:spacing w:after="0" w:line="240" w:lineRule="auto"/>
              <w:rPr>
                <w:rFonts w:ascii="Verdana" w:eastAsia="Times New Roman" w:hAnsi="Verdana" w:cs="Times New Roman"/>
                <w:b/>
                <w:bCs/>
                <w:color w:val="0000FF"/>
                <w:sz w:val="15"/>
                <w:szCs w:val="15"/>
              </w:rPr>
            </w:pPr>
          </w:p>
          <w:p w:rsidR="00A22639" w:rsidRPr="00A22639" w:rsidRDefault="00A22639" w:rsidP="00D72C32">
            <w:pPr>
              <w:shd w:val="clear" w:color="auto" w:fill="E3E4FA"/>
              <w:spacing w:after="0" w:line="240" w:lineRule="auto"/>
              <w:rPr>
                <w:rFonts w:ascii="Verdana" w:eastAsia="Times New Roman" w:hAnsi="Verdana" w:cs="Times New Roman"/>
                <w:b/>
                <w:bCs/>
                <w:color w:val="0000FF"/>
                <w:sz w:val="15"/>
                <w:szCs w:val="15"/>
              </w:rPr>
            </w:pPr>
          </w:p>
          <w:p w:rsidR="00A22639" w:rsidRPr="00A22639" w:rsidRDefault="00A22639" w:rsidP="00D72C32">
            <w:pPr>
              <w:shd w:val="clear" w:color="auto" w:fill="E3E4FA"/>
              <w:spacing w:after="0" w:line="240" w:lineRule="auto"/>
              <w:rPr>
                <w:rFonts w:ascii="Verdana" w:eastAsia="Times New Roman" w:hAnsi="Verdana" w:cs="Times New Roman"/>
                <w:b/>
                <w:bCs/>
                <w:color w:val="0000FF"/>
                <w:sz w:val="15"/>
                <w:szCs w:val="15"/>
              </w:rPr>
            </w:pPr>
          </w:p>
        </w:tc>
      </w:tr>
      <w:tr w:rsidR="002E3BF3" w:rsidRPr="00D72C32" w:rsidTr="00A22639">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tcPr>
          <w:p w:rsidR="002E3BF3" w:rsidRDefault="002E3BF3" w:rsidP="00D72C32">
            <w:pPr>
              <w:shd w:val="clear" w:color="auto" w:fill="E3E4FA"/>
              <w:spacing w:after="0" w:line="240" w:lineRule="auto"/>
              <w:rPr>
                <w:rFonts w:ascii="Verdana" w:eastAsia="Times New Roman" w:hAnsi="Verdana" w:cs="Times New Roman"/>
                <w:b/>
                <w:bCs/>
                <w:color w:val="0000FF"/>
                <w:sz w:val="15"/>
                <w:szCs w:val="15"/>
              </w:rPr>
            </w:pPr>
          </w:p>
        </w:tc>
        <w:tc>
          <w:tcPr>
            <w:tcW w:w="0" w:type="auto"/>
            <w:tcBorders>
              <w:top w:val="single" w:sz="6" w:space="0" w:color="7F7F7F"/>
              <w:left w:val="single" w:sz="6" w:space="0" w:color="7F7F7F"/>
              <w:bottom w:val="single" w:sz="6" w:space="0" w:color="7F7F7F"/>
              <w:right w:val="single" w:sz="6" w:space="0" w:color="7F7F7F"/>
            </w:tcBorders>
            <w:shd w:val="clear" w:color="auto" w:fill="auto"/>
            <w:tcMar>
              <w:top w:w="0" w:type="dxa"/>
              <w:left w:w="30" w:type="dxa"/>
              <w:bottom w:w="0" w:type="dxa"/>
              <w:right w:w="0" w:type="dxa"/>
            </w:tcMar>
          </w:tcPr>
          <w:p w:rsidR="002E3BF3" w:rsidRDefault="002E3BF3" w:rsidP="00D72C32">
            <w:pPr>
              <w:shd w:val="clear" w:color="auto" w:fill="E3E4FA"/>
              <w:spacing w:after="0" w:line="240" w:lineRule="auto"/>
              <w:rPr>
                <w:rFonts w:ascii="Verdana" w:eastAsia="Times New Roman" w:hAnsi="Verdana" w:cs="Times New Roman"/>
                <w:b/>
                <w:bCs/>
                <w:color w:val="0000FF"/>
                <w:sz w:val="15"/>
                <w:szCs w:val="15"/>
              </w:rPr>
            </w:pPr>
            <w:r>
              <w:rPr>
                <w:rFonts w:ascii="Verdana" w:eastAsia="Times New Roman" w:hAnsi="Verdana" w:cs="Times New Roman"/>
                <w:b/>
                <w:bCs/>
                <w:color w:val="0000FF"/>
                <w:sz w:val="15"/>
                <w:szCs w:val="15"/>
              </w:rPr>
              <w:t xml:space="preserve"> </w:t>
            </w:r>
          </w:p>
        </w:tc>
      </w:tr>
      <w:bookmarkEnd w:id="58"/>
    </w:tbl>
    <w:p w:rsidR="00F6099B" w:rsidRDefault="00434A8D"/>
    <w:sectPr w:rsidR="00F6099B">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E63" w:rsidRDefault="00EB5E63" w:rsidP="00AD53D4">
      <w:pPr>
        <w:spacing w:after="0" w:line="240" w:lineRule="auto"/>
      </w:pPr>
      <w:r>
        <w:separator/>
      </w:r>
    </w:p>
  </w:endnote>
  <w:endnote w:type="continuationSeparator" w:id="0">
    <w:p w:rsidR="00EB5E63" w:rsidRDefault="00EB5E63" w:rsidP="00AD5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013161"/>
      <w:docPartObj>
        <w:docPartGallery w:val="Page Numbers (Bottom of Page)"/>
        <w:docPartUnique/>
      </w:docPartObj>
    </w:sdtPr>
    <w:sdtEndPr>
      <w:rPr>
        <w:noProof/>
      </w:rPr>
    </w:sdtEndPr>
    <w:sdtContent>
      <w:p w:rsidR="00AD53D4" w:rsidRDefault="00AD53D4">
        <w:pPr>
          <w:pStyle w:val="Footer"/>
          <w:jc w:val="right"/>
        </w:pPr>
        <w:r>
          <w:fldChar w:fldCharType="begin"/>
        </w:r>
        <w:r>
          <w:instrText xml:space="preserve"> PAGE   \* MERGEFORMAT </w:instrText>
        </w:r>
        <w:r>
          <w:fldChar w:fldCharType="separate"/>
        </w:r>
        <w:r w:rsidR="00434A8D">
          <w:rPr>
            <w:noProof/>
          </w:rPr>
          <w:t>11</w:t>
        </w:r>
        <w:r>
          <w:rPr>
            <w:noProof/>
          </w:rPr>
          <w:fldChar w:fldCharType="end"/>
        </w:r>
      </w:p>
    </w:sdtContent>
  </w:sdt>
  <w:p w:rsidR="00AD53D4" w:rsidRDefault="00AD53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E63" w:rsidRDefault="00EB5E63" w:rsidP="00AD53D4">
      <w:pPr>
        <w:spacing w:after="0" w:line="240" w:lineRule="auto"/>
      </w:pPr>
      <w:r>
        <w:separator/>
      </w:r>
    </w:p>
  </w:footnote>
  <w:footnote w:type="continuationSeparator" w:id="0">
    <w:p w:rsidR="00EB5E63" w:rsidRDefault="00EB5E63" w:rsidP="00AD53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F50DD"/>
    <w:multiLevelType w:val="hybridMultilevel"/>
    <w:tmpl w:val="47B20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FA47D7"/>
    <w:multiLevelType w:val="multilevel"/>
    <w:tmpl w:val="78305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C32"/>
    <w:rsid w:val="00082B24"/>
    <w:rsid w:val="000D0F5A"/>
    <w:rsid w:val="00106750"/>
    <w:rsid w:val="00123CD2"/>
    <w:rsid w:val="00146BD2"/>
    <w:rsid w:val="00164779"/>
    <w:rsid w:val="00293F77"/>
    <w:rsid w:val="002E3BF3"/>
    <w:rsid w:val="00393A9D"/>
    <w:rsid w:val="003D3812"/>
    <w:rsid w:val="003E177E"/>
    <w:rsid w:val="00422D4D"/>
    <w:rsid w:val="00434A8D"/>
    <w:rsid w:val="00436E5A"/>
    <w:rsid w:val="00445112"/>
    <w:rsid w:val="0045583B"/>
    <w:rsid w:val="004E3F86"/>
    <w:rsid w:val="00511A1A"/>
    <w:rsid w:val="00651EBD"/>
    <w:rsid w:val="006B6180"/>
    <w:rsid w:val="00726C00"/>
    <w:rsid w:val="007271E7"/>
    <w:rsid w:val="0073333F"/>
    <w:rsid w:val="00735529"/>
    <w:rsid w:val="0075186D"/>
    <w:rsid w:val="007E21B2"/>
    <w:rsid w:val="00804B58"/>
    <w:rsid w:val="00863C41"/>
    <w:rsid w:val="00902DC4"/>
    <w:rsid w:val="009204AF"/>
    <w:rsid w:val="009E55F4"/>
    <w:rsid w:val="00A22639"/>
    <w:rsid w:val="00A24756"/>
    <w:rsid w:val="00A33A06"/>
    <w:rsid w:val="00AD217F"/>
    <w:rsid w:val="00AD2E1C"/>
    <w:rsid w:val="00AD53D4"/>
    <w:rsid w:val="00B06D1E"/>
    <w:rsid w:val="00B746F7"/>
    <w:rsid w:val="00B96698"/>
    <w:rsid w:val="00BF5526"/>
    <w:rsid w:val="00C10134"/>
    <w:rsid w:val="00C64B25"/>
    <w:rsid w:val="00C7792D"/>
    <w:rsid w:val="00D06668"/>
    <w:rsid w:val="00D36A99"/>
    <w:rsid w:val="00D72C32"/>
    <w:rsid w:val="00DD1D8B"/>
    <w:rsid w:val="00EB5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2F333"/>
  <w15:chartTrackingRefBased/>
  <w15:docId w15:val="{CD78CCF3-57ED-4CA0-B4D3-476B4ECF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53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53D4"/>
  </w:style>
  <w:style w:type="paragraph" w:styleId="Footer">
    <w:name w:val="footer"/>
    <w:basedOn w:val="Normal"/>
    <w:link w:val="FooterChar"/>
    <w:uiPriority w:val="99"/>
    <w:unhideWhenUsed/>
    <w:rsid w:val="00AD53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53D4"/>
  </w:style>
  <w:style w:type="character" w:styleId="Hyperlink">
    <w:name w:val="Hyperlink"/>
    <w:basedOn w:val="DefaultParagraphFont"/>
    <w:uiPriority w:val="99"/>
    <w:unhideWhenUsed/>
    <w:rsid w:val="00146BD2"/>
    <w:rPr>
      <w:color w:val="0563C1" w:themeColor="hyperlink"/>
      <w:u w:val="single"/>
    </w:rPr>
  </w:style>
  <w:style w:type="paragraph" w:styleId="ListParagraph">
    <w:name w:val="List Paragraph"/>
    <w:basedOn w:val="Normal"/>
    <w:uiPriority w:val="34"/>
    <w:qFormat/>
    <w:rsid w:val="00A226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819731">
      <w:bodyDiv w:val="1"/>
      <w:marLeft w:val="0"/>
      <w:marRight w:val="0"/>
      <w:marTop w:val="0"/>
      <w:marBottom w:val="0"/>
      <w:divBdr>
        <w:top w:val="none" w:sz="0" w:space="0" w:color="auto"/>
        <w:left w:val="none" w:sz="0" w:space="0" w:color="auto"/>
        <w:bottom w:val="none" w:sz="0" w:space="0" w:color="auto"/>
        <w:right w:val="none" w:sz="0" w:space="0" w:color="auto"/>
      </w:divBdr>
      <w:divsChild>
        <w:div w:id="1265267916">
          <w:marLeft w:val="0"/>
          <w:marRight w:val="0"/>
          <w:marTop w:val="0"/>
          <w:marBottom w:val="0"/>
          <w:divBdr>
            <w:top w:val="none" w:sz="0" w:space="0" w:color="auto"/>
            <w:left w:val="none" w:sz="0" w:space="0" w:color="auto"/>
            <w:bottom w:val="none" w:sz="0" w:space="0" w:color="auto"/>
            <w:right w:val="none" w:sz="0" w:space="0" w:color="auto"/>
          </w:divBdr>
        </w:div>
        <w:div w:id="1797871867">
          <w:marLeft w:val="0"/>
          <w:marRight w:val="0"/>
          <w:marTop w:val="0"/>
          <w:marBottom w:val="0"/>
          <w:divBdr>
            <w:top w:val="none" w:sz="0" w:space="0" w:color="auto"/>
            <w:left w:val="none" w:sz="0" w:space="0" w:color="auto"/>
            <w:bottom w:val="none" w:sz="0" w:space="0" w:color="auto"/>
            <w:right w:val="none" w:sz="0" w:space="0" w:color="auto"/>
          </w:divBdr>
          <w:divsChild>
            <w:div w:id="1904102846">
              <w:marLeft w:val="0"/>
              <w:marRight w:val="0"/>
              <w:marTop w:val="0"/>
              <w:marBottom w:val="0"/>
              <w:divBdr>
                <w:top w:val="none" w:sz="0" w:space="0" w:color="auto"/>
                <w:left w:val="none" w:sz="0" w:space="0" w:color="auto"/>
                <w:bottom w:val="none" w:sz="0" w:space="0" w:color="auto"/>
                <w:right w:val="none" w:sz="0" w:space="0" w:color="auto"/>
              </w:divBdr>
              <w:divsChild>
                <w:div w:id="1473719743">
                  <w:marLeft w:val="0"/>
                  <w:marRight w:val="0"/>
                  <w:marTop w:val="0"/>
                  <w:marBottom w:val="0"/>
                  <w:divBdr>
                    <w:top w:val="none" w:sz="0" w:space="0" w:color="auto"/>
                    <w:left w:val="none" w:sz="0" w:space="0" w:color="auto"/>
                    <w:bottom w:val="none" w:sz="0" w:space="0" w:color="auto"/>
                    <w:right w:val="none" w:sz="0" w:space="0" w:color="auto"/>
                  </w:divBdr>
                </w:div>
                <w:div w:id="2103867474">
                  <w:marLeft w:val="0"/>
                  <w:marRight w:val="0"/>
                  <w:marTop w:val="0"/>
                  <w:marBottom w:val="0"/>
                  <w:divBdr>
                    <w:top w:val="none" w:sz="0" w:space="0" w:color="auto"/>
                    <w:left w:val="none" w:sz="0" w:space="0" w:color="auto"/>
                    <w:bottom w:val="none" w:sz="0" w:space="0" w:color="auto"/>
                    <w:right w:val="none" w:sz="0" w:space="0" w:color="auto"/>
                  </w:divBdr>
                </w:div>
                <w:div w:id="178089124">
                  <w:marLeft w:val="0"/>
                  <w:marRight w:val="0"/>
                  <w:marTop w:val="0"/>
                  <w:marBottom w:val="0"/>
                  <w:divBdr>
                    <w:top w:val="none" w:sz="0" w:space="0" w:color="auto"/>
                    <w:left w:val="none" w:sz="0" w:space="0" w:color="auto"/>
                    <w:bottom w:val="none" w:sz="0" w:space="0" w:color="auto"/>
                    <w:right w:val="none" w:sz="0" w:space="0" w:color="auto"/>
                  </w:divBdr>
                </w:div>
              </w:divsChild>
            </w:div>
            <w:div w:id="1978102698">
              <w:marLeft w:val="0"/>
              <w:marRight w:val="0"/>
              <w:marTop w:val="0"/>
              <w:marBottom w:val="0"/>
              <w:divBdr>
                <w:top w:val="none" w:sz="0" w:space="0" w:color="auto"/>
                <w:left w:val="none" w:sz="0" w:space="0" w:color="auto"/>
                <w:bottom w:val="none" w:sz="0" w:space="0" w:color="auto"/>
                <w:right w:val="none" w:sz="0" w:space="0" w:color="auto"/>
              </w:divBdr>
              <w:divsChild>
                <w:div w:id="449977574">
                  <w:marLeft w:val="0"/>
                  <w:marRight w:val="0"/>
                  <w:marTop w:val="0"/>
                  <w:marBottom w:val="0"/>
                  <w:divBdr>
                    <w:top w:val="none" w:sz="0" w:space="0" w:color="auto"/>
                    <w:left w:val="none" w:sz="0" w:space="0" w:color="auto"/>
                    <w:bottom w:val="none" w:sz="0" w:space="0" w:color="auto"/>
                    <w:right w:val="none" w:sz="0" w:space="0" w:color="auto"/>
                  </w:divBdr>
                </w:div>
                <w:div w:id="905802237">
                  <w:marLeft w:val="0"/>
                  <w:marRight w:val="0"/>
                  <w:marTop w:val="0"/>
                  <w:marBottom w:val="0"/>
                  <w:divBdr>
                    <w:top w:val="none" w:sz="0" w:space="0" w:color="auto"/>
                    <w:left w:val="none" w:sz="0" w:space="0" w:color="auto"/>
                    <w:bottom w:val="none" w:sz="0" w:space="0" w:color="auto"/>
                    <w:right w:val="none" w:sz="0" w:space="0" w:color="auto"/>
                  </w:divBdr>
                </w:div>
                <w:div w:id="254824340">
                  <w:marLeft w:val="0"/>
                  <w:marRight w:val="0"/>
                  <w:marTop w:val="0"/>
                  <w:marBottom w:val="0"/>
                  <w:divBdr>
                    <w:top w:val="none" w:sz="0" w:space="0" w:color="auto"/>
                    <w:left w:val="none" w:sz="0" w:space="0" w:color="auto"/>
                    <w:bottom w:val="none" w:sz="0" w:space="0" w:color="auto"/>
                    <w:right w:val="none" w:sz="0" w:space="0" w:color="auto"/>
                  </w:divBdr>
                </w:div>
              </w:divsChild>
            </w:div>
            <w:div w:id="2132622797">
              <w:marLeft w:val="0"/>
              <w:marRight w:val="0"/>
              <w:marTop w:val="0"/>
              <w:marBottom w:val="0"/>
              <w:divBdr>
                <w:top w:val="none" w:sz="0" w:space="0" w:color="auto"/>
                <w:left w:val="none" w:sz="0" w:space="0" w:color="auto"/>
                <w:bottom w:val="none" w:sz="0" w:space="0" w:color="auto"/>
                <w:right w:val="none" w:sz="0" w:space="0" w:color="auto"/>
              </w:divBdr>
              <w:divsChild>
                <w:div w:id="2054452950">
                  <w:marLeft w:val="0"/>
                  <w:marRight w:val="0"/>
                  <w:marTop w:val="0"/>
                  <w:marBottom w:val="0"/>
                  <w:divBdr>
                    <w:top w:val="none" w:sz="0" w:space="0" w:color="auto"/>
                    <w:left w:val="none" w:sz="0" w:space="0" w:color="auto"/>
                    <w:bottom w:val="none" w:sz="0" w:space="0" w:color="auto"/>
                    <w:right w:val="none" w:sz="0" w:space="0" w:color="auto"/>
                  </w:divBdr>
                </w:div>
                <w:div w:id="596912855">
                  <w:marLeft w:val="0"/>
                  <w:marRight w:val="0"/>
                  <w:marTop w:val="0"/>
                  <w:marBottom w:val="0"/>
                  <w:divBdr>
                    <w:top w:val="none" w:sz="0" w:space="0" w:color="auto"/>
                    <w:left w:val="none" w:sz="0" w:space="0" w:color="auto"/>
                    <w:bottom w:val="none" w:sz="0" w:space="0" w:color="auto"/>
                    <w:right w:val="none" w:sz="0" w:space="0" w:color="auto"/>
                  </w:divBdr>
                </w:div>
                <w:div w:id="24983719">
                  <w:marLeft w:val="0"/>
                  <w:marRight w:val="0"/>
                  <w:marTop w:val="0"/>
                  <w:marBottom w:val="0"/>
                  <w:divBdr>
                    <w:top w:val="none" w:sz="0" w:space="0" w:color="auto"/>
                    <w:left w:val="none" w:sz="0" w:space="0" w:color="auto"/>
                    <w:bottom w:val="none" w:sz="0" w:space="0" w:color="auto"/>
                    <w:right w:val="none" w:sz="0" w:space="0" w:color="auto"/>
                  </w:divBdr>
                </w:div>
              </w:divsChild>
            </w:div>
            <w:div w:id="1183594092">
              <w:marLeft w:val="0"/>
              <w:marRight w:val="0"/>
              <w:marTop w:val="0"/>
              <w:marBottom w:val="0"/>
              <w:divBdr>
                <w:top w:val="none" w:sz="0" w:space="0" w:color="auto"/>
                <w:left w:val="none" w:sz="0" w:space="0" w:color="auto"/>
                <w:bottom w:val="none" w:sz="0" w:space="0" w:color="auto"/>
                <w:right w:val="none" w:sz="0" w:space="0" w:color="auto"/>
              </w:divBdr>
              <w:divsChild>
                <w:div w:id="211160644">
                  <w:marLeft w:val="0"/>
                  <w:marRight w:val="0"/>
                  <w:marTop w:val="0"/>
                  <w:marBottom w:val="0"/>
                  <w:divBdr>
                    <w:top w:val="none" w:sz="0" w:space="0" w:color="auto"/>
                    <w:left w:val="none" w:sz="0" w:space="0" w:color="auto"/>
                    <w:bottom w:val="none" w:sz="0" w:space="0" w:color="auto"/>
                    <w:right w:val="none" w:sz="0" w:space="0" w:color="auto"/>
                  </w:divBdr>
                </w:div>
                <w:div w:id="1657950627">
                  <w:marLeft w:val="0"/>
                  <w:marRight w:val="0"/>
                  <w:marTop w:val="0"/>
                  <w:marBottom w:val="0"/>
                  <w:divBdr>
                    <w:top w:val="none" w:sz="0" w:space="0" w:color="auto"/>
                    <w:left w:val="none" w:sz="0" w:space="0" w:color="auto"/>
                    <w:bottom w:val="none" w:sz="0" w:space="0" w:color="auto"/>
                    <w:right w:val="none" w:sz="0" w:space="0" w:color="auto"/>
                  </w:divBdr>
                </w:div>
                <w:div w:id="1630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900985">
          <w:marLeft w:val="0"/>
          <w:marRight w:val="0"/>
          <w:marTop w:val="0"/>
          <w:marBottom w:val="0"/>
          <w:divBdr>
            <w:top w:val="none" w:sz="0" w:space="0" w:color="auto"/>
            <w:left w:val="none" w:sz="0" w:space="0" w:color="auto"/>
            <w:bottom w:val="none" w:sz="0" w:space="0" w:color="auto"/>
            <w:right w:val="none" w:sz="0" w:space="0" w:color="auto"/>
          </w:divBdr>
        </w:div>
        <w:div w:id="2134207956">
          <w:marLeft w:val="0"/>
          <w:marRight w:val="0"/>
          <w:marTop w:val="0"/>
          <w:marBottom w:val="0"/>
          <w:divBdr>
            <w:top w:val="none" w:sz="0" w:space="0" w:color="auto"/>
            <w:left w:val="none" w:sz="0" w:space="0" w:color="auto"/>
            <w:bottom w:val="none" w:sz="0" w:space="0" w:color="auto"/>
            <w:right w:val="none" w:sz="0" w:space="0" w:color="auto"/>
          </w:divBdr>
          <w:divsChild>
            <w:div w:id="431978481">
              <w:marLeft w:val="0"/>
              <w:marRight w:val="0"/>
              <w:marTop w:val="0"/>
              <w:marBottom w:val="0"/>
              <w:divBdr>
                <w:top w:val="none" w:sz="0" w:space="0" w:color="auto"/>
                <w:left w:val="none" w:sz="0" w:space="0" w:color="auto"/>
                <w:bottom w:val="none" w:sz="0" w:space="0" w:color="auto"/>
                <w:right w:val="none" w:sz="0" w:space="0" w:color="auto"/>
              </w:divBdr>
            </w:div>
            <w:div w:id="295836180">
              <w:marLeft w:val="0"/>
              <w:marRight w:val="0"/>
              <w:marTop w:val="0"/>
              <w:marBottom w:val="0"/>
              <w:divBdr>
                <w:top w:val="none" w:sz="0" w:space="0" w:color="auto"/>
                <w:left w:val="none" w:sz="0" w:space="0" w:color="auto"/>
                <w:bottom w:val="none" w:sz="0" w:space="0" w:color="auto"/>
                <w:right w:val="none" w:sz="0" w:space="0" w:color="auto"/>
              </w:divBdr>
            </w:div>
          </w:divsChild>
        </w:div>
        <w:div w:id="118652188">
          <w:marLeft w:val="0"/>
          <w:marRight w:val="0"/>
          <w:marTop w:val="0"/>
          <w:marBottom w:val="0"/>
          <w:divBdr>
            <w:top w:val="none" w:sz="0" w:space="0" w:color="auto"/>
            <w:left w:val="none" w:sz="0" w:space="0" w:color="auto"/>
            <w:bottom w:val="none" w:sz="0" w:space="0" w:color="auto"/>
            <w:right w:val="none" w:sz="0" w:space="0" w:color="auto"/>
          </w:divBdr>
        </w:div>
        <w:div w:id="873007293">
          <w:marLeft w:val="0"/>
          <w:marRight w:val="0"/>
          <w:marTop w:val="0"/>
          <w:marBottom w:val="0"/>
          <w:divBdr>
            <w:top w:val="none" w:sz="0" w:space="0" w:color="auto"/>
            <w:left w:val="none" w:sz="0" w:space="0" w:color="auto"/>
            <w:bottom w:val="none" w:sz="0" w:space="0" w:color="auto"/>
            <w:right w:val="none" w:sz="0" w:space="0" w:color="auto"/>
          </w:divBdr>
          <w:divsChild>
            <w:div w:id="927032913">
              <w:marLeft w:val="0"/>
              <w:marRight w:val="0"/>
              <w:marTop w:val="0"/>
              <w:marBottom w:val="0"/>
              <w:divBdr>
                <w:top w:val="none" w:sz="0" w:space="0" w:color="auto"/>
                <w:left w:val="none" w:sz="0" w:space="0" w:color="auto"/>
                <w:bottom w:val="none" w:sz="0" w:space="0" w:color="auto"/>
                <w:right w:val="none" w:sz="0" w:space="0" w:color="auto"/>
              </w:divBdr>
            </w:div>
            <w:div w:id="1273975194">
              <w:marLeft w:val="0"/>
              <w:marRight w:val="0"/>
              <w:marTop w:val="0"/>
              <w:marBottom w:val="0"/>
              <w:divBdr>
                <w:top w:val="none" w:sz="0" w:space="0" w:color="auto"/>
                <w:left w:val="none" w:sz="0" w:space="0" w:color="auto"/>
                <w:bottom w:val="none" w:sz="0" w:space="0" w:color="auto"/>
                <w:right w:val="none" w:sz="0" w:space="0" w:color="auto"/>
              </w:divBdr>
            </w:div>
            <w:div w:id="732779167">
              <w:marLeft w:val="0"/>
              <w:marRight w:val="0"/>
              <w:marTop w:val="0"/>
              <w:marBottom w:val="0"/>
              <w:divBdr>
                <w:top w:val="none" w:sz="0" w:space="0" w:color="auto"/>
                <w:left w:val="none" w:sz="0" w:space="0" w:color="auto"/>
                <w:bottom w:val="none" w:sz="0" w:space="0" w:color="auto"/>
                <w:right w:val="none" w:sz="0" w:space="0" w:color="auto"/>
              </w:divBdr>
            </w:div>
          </w:divsChild>
        </w:div>
        <w:div w:id="2113014449">
          <w:marLeft w:val="0"/>
          <w:marRight w:val="0"/>
          <w:marTop w:val="0"/>
          <w:marBottom w:val="0"/>
          <w:divBdr>
            <w:top w:val="none" w:sz="0" w:space="0" w:color="auto"/>
            <w:left w:val="none" w:sz="0" w:space="0" w:color="auto"/>
            <w:bottom w:val="none" w:sz="0" w:space="0" w:color="auto"/>
            <w:right w:val="none" w:sz="0" w:space="0" w:color="auto"/>
          </w:divBdr>
          <w:divsChild>
            <w:div w:id="1085151321">
              <w:marLeft w:val="0"/>
              <w:marRight w:val="0"/>
              <w:marTop w:val="0"/>
              <w:marBottom w:val="0"/>
              <w:divBdr>
                <w:top w:val="none" w:sz="0" w:space="0" w:color="auto"/>
                <w:left w:val="none" w:sz="0" w:space="0" w:color="auto"/>
                <w:bottom w:val="none" w:sz="0" w:space="0" w:color="auto"/>
                <w:right w:val="none" w:sz="0" w:space="0" w:color="auto"/>
              </w:divBdr>
            </w:div>
            <w:div w:id="278031593">
              <w:marLeft w:val="0"/>
              <w:marRight w:val="0"/>
              <w:marTop w:val="0"/>
              <w:marBottom w:val="0"/>
              <w:divBdr>
                <w:top w:val="none" w:sz="0" w:space="0" w:color="auto"/>
                <w:left w:val="none" w:sz="0" w:space="0" w:color="auto"/>
                <w:bottom w:val="none" w:sz="0" w:space="0" w:color="auto"/>
                <w:right w:val="none" w:sz="0" w:space="0" w:color="auto"/>
              </w:divBdr>
            </w:div>
            <w:div w:id="1284577902">
              <w:marLeft w:val="0"/>
              <w:marRight w:val="0"/>
              <w:marTop w:val="0"/>
              <w:marBottom w:val="0"/>
              <w:divBdr>
                <w:top w:val="none" w:sz="0" w:space="0" w:color="auto"/>
                <w:left w:val="none" w:sz="0" w:space="0" w:color="auto"/>
                <w:bottom w:val="none" w:sz="0" w:space="0" w:color="auto"/>
                <w:right w:val="none" w:sz="0" w:space="0" w:color="auto"/>
              </w:divBdr>
            </w:div>
          </w:divsChild>
        </w:div>
        <w:div w:id="826214511">
          <w:marLeft w:val="0"/>
          <w:marRight w:val="0"/>
          <w:marTop w:val="0"/>
          <w:marBottom w:val="0"/>
          <w:divBdr>
            <w:top w:val="none" w:sz="0" w:space="0" w:color="auto"/>
            <w:left w:val="none" w:sz="0" w:space="0" w:color="auto"/>
            <w:bottom w:val="none" w:sz="0" w:space="0" w:color="auto"/>
            <w:right w:val="none" w:sz="0" w:space="0" w:color="auto"/>
          </w:divBdr>
          <w:divsChild>
            <w:div w:id="795610996">
              <w:marLeft w:val="0"/>
              <w:marRight w:val="0"/>
              <w:marTop w:val="0"/>
              <w:marBottom w:val="0"/>
              <w:divBdr>
                <w:top w:val="none" w:sz="0" w:space="0" w:color="auto"/>
                <w:left w:val="none" w:sz="0" w:space="0" w:color="auto"/>
                <w:bottom w:val="none" w:sz="0" w:space="0" w:color="auto"/>
                <w:right w:val="none" w:sz="0" w:space="0" w:color="auto"/>
              </w:divBdr>
            </w:div>
            <w:div w:id="1324822342">
              <w:marLeft w:val="0"/>
              <w:marRight w:val="0"/>
              <w:marTop w:val="0"/>
              <w:marBottom w:val="0"/>
              <w:divBdr>
                <w:top w:val="none" w:sz="0" w:space="0" w:color="auto"/>
                <w:left w:val="none" w:sz="0" w:space="0" w:color="auto"/>
                <w:bottom w:val="none" w:sz="0" w:space="0" w:color="auto"/>
                <w:right w:val="none" w:sz="0" w:space="0" w:color="auto"/>
              </w:divBdr>
            </w:div>
            <w:div w:id="599071093">
              <w:marLeft w:val="0"/>
              <w:marRight w:val="0"/>
              <w:marTop w:val="0"/>
              <w:marBottom w:val="0"/>
              <w:divBdr>
                <w:top w:val="none" w:sz="0" w:space="0" w:color="auto"/>
                <w:left w:val="none" w:sz="0" w:space="0" w:color="auto"/>
                <w:bottom w:val="none" w:sz="0" w:space="0" w:color="auto"/>
                <w:right w:val="none" w:sz="0" w:space="0" w:color="auto"/>
              </w:divBdr>
            </w:div>
          </w:divsChild>
        </w:div>
        <w:div w:id="506798002">
          <w:marLeft w:val="0"/>
          <w:marRight w:val="0"/>
          <w:marTop w:val="0"/>
          <w:marBottom w:val="0"/>
          <w:divBdr>
            <w:top w:val="none" w:sz="0" w:space="0" w:color="auto"/>
            <w:left w:val="none" w:sz="0" w:space="0" w:color="auto"/>
            <w:bottom w:val="none" w:sz="0" w:space="0" w:color="auto"/>
            <w:right w:val="none" w:sz="0" w:space="0" w:color="auto"/>
          </w:divBdr>
        </w:div>
        <w:div w:id="1222785958">
          <w:marLeft w:val="0"/>
          <w:marRight w:val="0"/>
          <w:marTop w:val="0"/>
          <w:marBottom w:val="0"/>
          <w:divBdr>
            <w:top w:val="none" w:sz="0" w:space="0" w:color="auto"/>
            <w:left w:val="none" w:sz="0" w:space="0" w:color="auto"/>
            <w:bottom w:val="none" w:sz="0" w:space="0" w:color="auto"/>
            <w:right w:val="none" w:sz="0" w:space="0" w:color="auto"/>
          </w:divBdr>
          <w:divsChild>
            <w:div w:id="2019655502">
              <w:marLeft w:val="0"/>
              <w:marRight w:val="0"/>
              <w:marTop w:val="0"/>
              <w:marBottom w:val="0"/>
              <w:divBdr>
                <w:top w:val="none" w:sz="0" w:space="0" w:color="auto"/>
                <w:left w:val="none" w:sz="0" w:space="0" w:color="auto"/>
                <w:bottom w:val="none" w:sz="0" w:space="0" w:color="auto"/>
                <w:right w:val="none" w:sz="0" w:space="0" w:color="auto"/>
              </w:divBdr>
            </w:div>
            <w:div w:id="296380219">
              <w:marLeft w:val="0"/>
              <w:marRight w:val="0"/>
              <w:marTop w:val="0"/>
              <w:marBottom w:val="0"/>
              <w:divBdr>
                <w:top w:val="none" w:sz="0" w:space="0" w:color="auto"/>
                <w:left w:val="none" w:sz="0" w:space="0" w:color="auto"/>
                <w:bottom w:val="none" w:sz="0" w:space="0" w:color="auto"/>
                <w:right w:val="none" w:sz="0" w:space="0" w:color="auto"/>
              </w:divBdr>
            </w:div>
            <w:div w:id="1868133696">
              <w:marLeft w:val="0"/>
              <w:marRight w:val="0"/>
              <w:marTop w:val="0"/>
              <w:marBottom w:val="0"/>
              <w:divBdr>
                <w:top w:val="none" w:sz="0" w:space="0" w:color="auto"/>
                <w:left w:val="none" w:sz="0" w:space="0" w:color="auto"/>
                <w:bottom w:val="none" w:sz="0" w:space="0" w:color="auto"/>
                <w:right w:val="none" w:sz="0" w:space="0" w:color="auto"/>
              </w:divBdr>
            </w:div>
          </w:divsChild>
        </w:div>
        <w:div w:id="988362380">
          <w:marLeft w:val="0"/>
          <w:marRight w:val="0"/>
          <w:marTop w:val="0"/>
          <w:marBottom w:val="0"/>
          <w:divBdr>
            <w:top w:val="none" w:sz="0" w:space="0" w:color="auto"/>
            <w:left w:val="none" w:sz="0" w:space="0" w:color="auto"/>
            <w:bottom w:val="none" w:sz="0" w:space="0" w:color="auto"/>
            <w:right w:val="none" w:sz="0" w:space="0" w:color="auto"/>
          </w:divBdr>
          <w:divsChild>
            <w:div w:id="1814520633">
              <w:marLeft w:val="0"/>
              <w:marRight w:val="0"/>
              <w:marTop w:val="0"/>
              <w:marBottom w:val="0"/>
              <w:divBdr>
                <w:top w:val="none" w:sz="0" w:space="0" w:color="auto"/>
                <w:left w:val="none" w:sz="0" w:space="0" w:color="auto"/>
                <w:bottom w:val="none" w:sz="0" w:space="0" w:color="auto"/>
                <w:right w:val="none" w:sz="0" w:space="0" w:color="auto"/>
              </w:divBdr>
            </w:div>
            <w:div w:id="604926639">
              <w:marLeft w:val="0"/>
              <w:marRight w:val="0"/>
              <w:marTop w:val="0"/>
              <w:marBottom w:val="0"/>
              <w:divBdr>
                <w:top w:val="none" w:sz="0" w:space="0" w:color="auto"/>
                <w:left w:val="none" w:sz="0" w:space="0" w:color="auto"/>
                <w:bottom w:val="none" w:sz="0" w:space="0" w:color="auto"/>
                <w:right w:val="none" w:sz="0" w:space="0" w:color="auto"/>
              </w:divBdr>
            </w:div>
            <w:div w:id="1075977910">
              <w:marLeft w:val="0"/>
              <w:marRight w:val="0"/>
              <w:marTop w:val="0"/>
              <w:marBottom w:val="0"/>
              <w:divBdr>
                <w:top w:val="none" w:sz="0" w:space="0" w:color="auto"/>
                <w:left w:val="none" w:sz="0" w:space="0" w:color="auto"/>
                <w:bottom w:val="none" w:sz="0" w:space="0" w:color="auto"/>
                <w:right w:val="none" w:sz="0" w:space="0" w:color="auto"/>
              </w:divBdr>
            </w:div>
          </w:divsChild>
        </w:div>
        <w:div w:id="1956205083">
          <w:marLeft w:val="0"/>
          <w:marRight w:val="0"/>
          <w:marTop w:val="0"/>
          <w:marBottom w:val="0"/>
          <w:divBdr>
            <w:top w:val="none" w:sz="0" w:space="0" w:color="auto"/>
            <w:left w:val="none" w:sz="0" w:space="0" w:color="auto"/>
            <w:bottom w:val="none" w:sz="0" w:space="0" w:color="auto"/>
            <w:right w:val="none" w:sz="0" w:space="0" w:color="auto"/>
          </w:divBdr>
          <w:divsChild>
            <w:div w:id="724910609">
              <w:marLeft w:val="0"/>
              <w:marRight w:val="0"/>
              <w:marTop w:val="0"/>
              <w:marBottom w:val="0"/>
              <w:divBdr>
                <w:top w:val="none" w:sz="0" w:space="0" w:color="auto"/>
                <w:left w:val="none" w:sz="0" w:space="0" w:color="auto"/>
                <w:bottom w:val="none" w:sz="0" w:space="0" w:color="auto"/>
                <w:right w:val="none" w:sz="0" w:space="0" w:color="auto"/>
              </w:divBdr>
            </w:div>
            <w:div w:id="706299368">
              <w:marLeft w:val="0"/>
              <w:marRight w:val="0"/>
              <w:marTop w:val="0"/>
              <w:marBottom w:val="0"/>
              <w:divBdr>
                <w:top w:val="none" w:sz="0" w:space="0" w:color="auto"/>
                <w:left w:val="none" w:sz="0" w:space="0" w:color="auto"/>
                <w:bottom w:val="none" w:sz="0" w:space="0" w:color="auto"/>
                <w:right w:val="none" w:sz="0" w:space="0" w:color="auto"/>
              </w:divBdr>
            </w:div>
            <w:div w:id="1802916029">
              <w:marLeft w:val="0"/>
              <w:marRight w:val="0"/>
              <w:marTop w:val="0"/>
              <w:marBottom w:val="0"/>
              <w:divBdr>
                <w:top w:val="none" w:sz="0" w:space="0" w:color="auto"/>
                <w:left w:val="none" w:sz="0" w:space="0" w:color="auto"/>
                <w:bottom w:val="none" w:sz="0" w:space="0" w:color="auto"/>
                <w:right w:val="none" w:sz="0" w:space="0" w:color="auto"/>
              </w:divBdr>
            </w:div>
          </w:divsChild>
        </w:div>
        <w:div w:id="1885215839">
          <w:marLeft w:val="0"/>
          <w:marRight w:val="0"/>
          <w:marTop w:val="0"/>
          <w:marBottom w:val="0"/>
          <w:divBdr>
            <w:top w:val="none" w:sz="0" w:space="0" w:color="auto"/>
            <w:left w:val="none" w:sz="0" w:space="0" w:color="auto"/>
            <w:bottom w:val="none" w:sz="0" w:space="0" w:color="auto"/>
            <w:right w:val="none" w:sz="0" w:space="0" w:color="auto"/>
          </w:divBdr>
          <w:divsChild>
            <w:div w:id="1844542863">
              <w:marLeft w:val="0"/>
              <w:marRight w:val="0"/>
              <w:marTop w:val="0"/>
              <w:marBottom w:val="0"/>
              <w:divBdr>
                <w:top w:val="none" w:sz="0" w:space="0" w:color="auto"/>
                <w:left w:val="none" w:sz="0" w:space="0" w:color="auto"/>
                <w:bottom w:val="none" w:sz="0" w:space="0" w:color="auto"/>
                <w:right w:val="none" w:sz="0" w:space="0" w:color="auto"/>
              </w:divBdr>
            </w:div>
            <w:div w:id="378825709">
              <w:marLeft w:val="0"/>
              <w:marRight w:val="0"/>
              <w:marTop w:val="0"/>
              <w:marBottom w:val="0"/>
              <w:divBdr>
                <w:top w:val="none" w:sz="0" w:space="0" w:color="auto"/>
                <w:left w:val="none" w:sz="0" w:space="0" w:color="auto"/>
                <w:bottom w:val="none" w:sz="0" w:space="0" w:color="auto"/>
                <w:right w:val="none" w:sz="0" w:space="0" w:color="auto"/>
              </w:divBdr>
            </w:div>
            <w:div w:id="112748114">
              <w:marLeft w:val="0"/>
              <w:marRight w:val="0"/>
              <w:marTop w:val="0"/>
              <w:marBottom w:val="0"/>
              <w:divBdr>
                <w:top w:val="none" w:sz="0" w:space="0" w:color="auto"/>
                <w:left w:val="none" w:sz="0" w:space="0" w:color="auto"/>
                <w:bottom w:val="none" w:sz="0" w:space="0" w:color="auto"/>
                <w:right w:val="none" w:sz="0" w:space="0" w:color="auto"/>
              </w:divBdr>
            </w:div>
          </w:divsChild>
        </w:div>
        <w:div w:id="1969580502">
          <w:marLeft w:val="0"/>
          <w:marRight w:val="0"/>
          <w:marTop w:val="0"/>
          <w:marBottom w:val="0"/>
          <w:divBdr>
            <w:top w:val="none" w:sz="0" w:space="0" w:color="auto"/>
            <w:left w:val="none" w:sz="0" w:space="0" w:color="auto"/>
            <w:bottom w:val="none" w:sz="0" w:space="0" w:color="auto"/>
            <w:right w:val="none" w:sz="0" w:space="0" w:color="auto"/>
          </w:divBdr>
        </w:div>
        <w:div w:id="1803109657">
          <w:marLeft w:val="0"/>
          <w:marRight w:val="0"/>
          <w:marTop w:val="0"/>
          <w:marBottom w:val="0"/>
          <w:divBdr>
            <w:top w:val="none" w:sz="0" w:space="0" w:color="auto"/>
            <w:left w:val="none" w:sz="0" w:space="0" w:color="auto"/>
            <w:bottom w:val="none" w:sz="0" w:space="0" w:color="auto"/>
            <w:right w:val="none" w:sz="0" w:space="0" w:color="auto"/>
          </w:divBdr>
          <w:divsChild>
            <w:div w:id="1764111677">
              <w:marLeft w:val="0"/>
              <w:marRight w:val="0"/>
              <w:marTop w:val="0"/>
              <w:marBottom w:val="0"/>
              <w:divBdr>
                <w:top w:val="none" w:sz="0" w:space="0" w:color="auto"/>
                <w:left w:val="none" w:sz="0" w:space="0" w:color="auto"/>
                <w:bottom w:val="none" w:sz="0" w:space="0" w:color="auto"/>
                <w:right w:val="none" w:sz="0" w:space="0" w:color="auto"/>
              </w:divBdr>
            </w:div>
            <w:div w:id="232128733">
              <w:marLeft w:val="0"/>
              <w:marRight w:val="0"/>
              <w:marTop w:val="0"/>
              <w:marBottom w:val="0"/>
              <w:divBdr>
                <w:top w:val="none" w:sz="0" w:space="0" w:color="auto"/>
                <w:left w:val="none" w:sz="0" w:space="0" w:color="auto"/>
                <w:bottom w:val="none" w:sz="0" w:space="0" w:color="auto"/>
                <w:right w:val="none" w:sz="0" w:space="0" w:color="auto"/>
              </w:divBdr>
            </w:div>
            <w:div w:id="558631896">
              <w:marLeft w:val="0"/>
              <w:marRight w:val="0"/>
              <w:marTop w:val="0"/>
              <w:marBottom w:val="0"/>
              <w:divBdr>
                <w:top w:val="none" w:sz="0" w:space="0" w:color="auto"/>
                <w:left w:val="none" w:sz="0" w:space="0" w:color="auto"/>
                <w:bottom w:val="none" w:sz="0" w:space="0" w:color="auto"/>
                <w:right w:val="none" w:sz="0" w:space="0" w:color="auto"/>
              </w:divBdr>
            </w:div>
          </w:divsChild>
        </w:div>
        <w:div w:id="1572808261">
          <w:marLeft w:val="0"/>
          <w:marRight w:val="0"/>
          <w:marTop w:val="0"/>
          <w:marBottom w:val="0"/>
          <w:divBdr>
            <w:top w:val="none" w:sz="0" w:space="0" w:color="auto"/>
            <w:left w:val="none" w:sz="0" w:space="0" w:color="auto"/>
            <w:bottom w:val="none" w:sz="0" w:space="0" w:color="auto"/>
            <w:right w:val="none" w:sz="0" w:space="0" w:color="auto"/>
          </w:divBdr>
        </w:div>
        <w:div w:id="1187718410">
          <w:marLeft w:val="0"/>
          <w:marRight w:val="0"/>
          <w:marTop w:val="0"/>
          <w:marBottom w:val="0"/>
          <w:divBdr>
            <w:top w:val="none" w:sz="0" w:space="0" w:color="auto"/>
            <w:left w:val="none" w:sz="0" w:space="0" w:color="auto"/>
            <w:bottom w:val="none" w:sz="0" w:space="0" w:color="auto"/>
            <w:right w:val="none" w:sz="0" w:space="0" w:color="auto"/>
          </w:divBdr>
          <w:divsChild>
            <w:div w:id="935209104">
              <w:marLeft w:val="0"/>
              <w:marRight w:val="0"/>
              <w:marTop w:val="0"/>
              <w:marBottom w:val="0"/>
              <w:divBdr>
                <w:top w:val="none" w:sz="0" w:space="0" w:color="auto"/>
                <w:left w:val="none" w:sz="0" w:space="0" w:color="auto"/>
                <w:bottom w:val="none" w:sz="0" w:space="0" w:color="auto"/>
                <w:right w:val="none" w:sz="0" w:space="0" w:color="auto"/>
              </w:divBdr>
            </w:div>
            <w:div w:id="607154930">
              <w:marLeft w:val="0"/>
              <w:marRight w:val="0"/>
              <w:marTop w:val="0"/>
              <w:marBottom w:val="0"/>
              <w:divBdr>
                <w:top w:val="none" w:sz="0" w:space="0" w:color="auto"/>
                <w:left w:val="none" w:sz="0" w:space="0" w:color="auto"/>
                <w:bottom w:val="none" w:sz="0" w:space="0" w:color="auto"/>
                <w:right w:val="none" w:sz="0" w:space="0" w:color="auto"/>
              </w:divBdr>
            </w:div>
          </w:divsChild>
        </w:div>
        <w:div w:id="257836778">
          <w:marLeft w:val="0"/>
          <w:marRight w:val="0"/>
          <w:marTop w:val="0"/>
          <w:marBottom w:val="0"/>
          <w:divBdr>
            <w:top w:val="none" w:sz="0" w:space="0" w:color="auto"/>
            <w:left w:val="none" w:sz="0" w:space="0" w:color="auto"/>
            <w:bottom w:val="none" w:sz="0" w:space="0" w:color="auto"/>
            <w:right w:val="none" w:sz="0" w:space="0" w:color="auto"/>
          </w:divBdr>
        </w:div>
        <w:div w:id="2088140479">
          <w:marLeft w:val="0"/>
          <w:marRight w:val="0"/>
          <w:marTop w:val="0"/>
          <w:marBottom w:val="0"/>
          <w:divBdr>
            <w:top w:val="none" w:sz="0" w:space="0" w:color="auto"/>
            <w:left w:val="none" w:sz="0" w:space="0" w:color="auto"/>
            <w:bottom w:val="none" w:sz="0" w:space="0" w:color="auto"/>
            <w:right w:val="none" w:sz="0" w:space="0" w:color="auto"/>
          </w:divBdr>
          <w:divsChild>
            <w:div w:id="155613245">
              <w:marLeft w:val="0"/>
              <w:marRight w:val="0"/>
              <w:marTop w:val="0"/>
              <w:marBottom w:val="0"/>
              <w:divBdr>
                <w:top w:val="none" w:sz="0" w:space="0" w:color="auto"/>
                <w:left w:val="none" w:sz="0" w:space="0" w:color="auto"/>
                <w:bottom w:val="none" w:sz="0" w:space="0" w:color="auto"/>
                <w:right w:val="none" w:sz="0" w:space="0" w:color="auto"/>
              </w:divBdr>
            </w:div>
            <w:div w:id="2033215608">
              <w:marLeft w:val="0"/>
              <w:marRight w:val="0"/>
              <w:marTop w:val="0"/>
              <w:marBottom w:val="0"/>
              <w:divBdr>
                <w:top w:val="none" w:sz="0" w:space="0" w:color="auto"/>
                <w:left w:val="none" w:sz="0" w:space="0" w:color="auto"/>
                <w:bottom w:val="none" w:sz="0" w:space="0" w:color="auto"/>
                <w:right w:val="none" w:sz="0" w:space="0" w:color="auto"/>
              </w:divBdr>
            </w:div>
          </w:divsChild>
        </w:div>
        <w:div w:id="1670907227">
          <w:marLeft w:val="0"/>
          <w:marRight w:val="0"/>
          <w:marTop w:val="0"/>
          <w:marBottom w:val="0"/>
          <w:divBdr>
            <w:top w:val="none" w:sz="0" w:space="0" w:color="auto"/>
            <w:left w:val="none" w:sz="0" w:space="0" w:color="auto"/>
            <w:bottom w:val="none" w:sz="0" w:space="0" w:color="auto"/>
            <w:right w:val="none" w:sz="0" w:space="0" w:color="auto"/>
          </w:divBdr>
          <w:divsChild>
            <w:div w:id="170609006">
              <w:marLeft w:val="0"/>
              <w:marRight w:val="0"/>
              <w:marTop w:val="0"/>
              <w:marBottom w:val="0"/>
              <w:divBdr>
                <w:top w:val="none" w:sz="0" w:space="0" w:color="auto"/>
                <w:left w:val="none" w:sz="0" w:space="0" w:color="auto"/>
                <w:bottom w:val="none" w:sz="0" w:space="0" w:color="auto"/>
                <w:right w:val="none" w:sz="0" w:space="0" w:color="auto"/>
              </w:divBdr>
            </w:div>
            <w:div w:id="762724369">
              <w:marLeft w:val="0"/>
              <w:marRight w:val="0"/>
              <w:marTop w:val="0"/>
              <w:marBottom w:val="0"/>
              <w:divBdr>
                <w:top w:val="none" w:sz="0" w:space="0" w:color="auto"/>
                <w:left w:val="none" w:sz="0" w:space="0" w:color="auto"/>
                <w:bottom w:val="none" w:sz="0" w:space="0" w:color="auto"/>
                <w:right w:val="none" w:sz="0" w:space="0" w:color="auto"/>
              </w:divBdr>
            </w:div>
          </w:divsChild>
        </w:div>
        <w:div w:id="1026711113">
          <w:marLeft w:val="0"/>
          <w:marRight w:val="0"/>
          <w:marTop w:val="0"/>
          <w:marBottom w:val="0"/>
          <w:divBdr>
            <w:top w:val="none" w:sz="0" w:space="0" w:color="auto"/>
            <w:left w:val="none" w:sz="0" w:space="0" w:color="auto"/>
            <w:bottom w:val="none" w:sz="0" w:space="0" w:color="auto"/>
            <w:right w:val="none" w:sz="0" w:space="0" w:color="auto"/>
          </w:divBdr>
          <w:divsChild>
            <w:div w:id="1873297235">
              <w:marLeft w:val="0"/>
              <w:marRight w:val="0"/>
              <w:marTop w:val="0"/>
              <w:marBottom w:val="0"/>
              <w:divBdr>
                <w:top w:val="none" w:sz="0" w:space="0" w:color="auto"/>
                <w:left w:val="none" w:sz="0" w:space="0" w:color="auto"/>
                <w:bottom w:val="none" w:sz="0" w:space="0" w:color="auto"/>
                <w:right w:val="none" w:sz="0" w:space="0" w:color="auto"/>
              </w:divBdr>
            </w:div>
            <w:div w:id="1734041164">
              <w:marLeft w:val="0"/>
              <w:marRight w:val="0"/>
              <w:marTop w:val="0"/>
              <w:marBottom w:val="0"/>
              <w:divBdr>
                <w:top w:val="none" w:sz="0" w:space="0" w:color="auto"/>
                <w:left w:val="none" w:sz="0" w:space="0" w:color="auto"/>
                <w:bottom w:val="none" w:sz="0" w:space="0" w:color="auto"/>
                <w:right w:val="none" w:sz="0" w:space="0" w:color="auto"/>
              </w:divBdr>
            </w:div>
          </w:divsChild>
        </w:div>
        <w:div w:id="750125509">
          <w:marLeft w:val="0"/>
          <w:marRight w:val="0"/>
          <w:marTop w:val="0"/>
          <w:marBottom w:val="0"/>
          <w:divBdr>
            <w:top w:val="none" w:sz="0" w:space="0" w:color="auto"/>
            <w:left w:val="none" w:sz="0" w:space="0" w:color="auto"/>
            <w:bottom w:val="none" w:sz="0" w:space="0" w:color="auto"/>
            <w:right w:val="none" w:sz="0" w:space="0" w:color="auto"/>
          </w:divBdr>
        </w:div>
        <w:div w:id="1307246614">
          <w:marLeft w:val="0"/>
          <w:marRight w:val="0"/>
          <w:marTop w:val="0"/>
          <w:marBottom w:val="0"/>
          <w:divBdr>
            <w:top w:val="none" w:sz="0" w:space="0" w:color="auto"/>
            <w:left w:val="none" w:sz="0" w:space="0" w:color="auto"/>
            <w:bottom w:val="none" w:sz="0" w:space="0" w:color="auto"/>
            <w:right w:val="none" w:sz="0" w:space="0" w:color="auto"/>
          </w:divBdr>
          <w:divsChild>
            <w:div w:id="1691949887">
              <w:marLeft w:val="0"/>
              <w:marRight w:val="0"/>
              <w:marTop w:val="0"/>
              <w:marBottom w:val="0"/>
              <w:divBdr>
                <w:top w:val="none" w:sz="0" w:space="0" w:color="auto"/>
                <w:left w:val="none" w:sz="0" w:space="0" w:color="auto"/>
                <w:bottom w:val="none" w:sz="0" w:space="0" w:color="auto"/>
                <w:right w:val="none" w:sz="0" w:space="0" w:color="auto"/>
              </w:divBdr>
            </w:div>
            <w:div w:id="1125536509">
              <w:marLeft w:val="0"/>
              <w:marRight w:val="0"/>
              <w:marTop w:val="0"/>
              <w:marBottom w:val="0"/>
              <w:divBdr>
                <w:top w:val="none" w:sz="0" w:space="0" w:color="auto"/>
                <w:left w:val="none" w:sz="0" w:space="0" w:color="auto"/>
                <w:bottom w:val="none" w:sz="0" w:space="0" w:color="auto"/>
                <w:right w:val="none" w:sz="0" w:space="0" w:color="auto"/>
              </w:divBdr>
            </w:div>
          </w:divsChild>
        </w:div>
        <w:div w:id="1219827438">
          <w:marLeft w:val="0"/>
          <w:marRight w:val="0"/>
          <w:marTop w:val="0"/>
          <w:marBottom w:val="0"/>
          <w:divBdr>
            <w:top w:val="none" w:sz="0" w:space="0" w:color="auto"/>
            <w:left w:val="none" w:sz="0" w:space="0" w:color="auto"/>
            <w:bottom w:val="none" w:sz="0" w:space="0" w:color="auto"/>
            <w:right w:val="none" w:sz="0" w:space="0" w:color="auto"/>
          </w:divBdr>
        </w:div>
        <w:div w:id="1880969042">
          <w:marLeft w:val="0"/>
          <w:marRight w:val="0"/>
          <w:marTop w:val="0"/>
          <w:marBottom w:val="0"/>
          <w:divBdr>
            <w:top w:val="none" w:sz="0" w:space="0" w:color="auto"/>
            <w:left w:val="none" w:sz="0" w:space="0" w:color="auto"/>
            <w:bottom w:val="none" w:sz="0" w:space="0" w:color="auto"/>
            <w:right w:val="none" w:sz="0" w:space="0" w:color="auto"/>
          </w:divBdr>
          <w:divsChild>
            <w:div w:id="632246823">
              <w:marLeft w:val="0"/>
              <w:marRight w:val="0"/>
              <w:marTop w:val="0"/>
              <w:marBottom w:val="0"/>
              <w:divBdr>
                <w:top w:val="none" w:sz="0" w:space="0" w:color="auto"/>
                <w:left w:val="none" w:sz="0" w:space="0" w:color="auto"/>
                <w:bottom w:val="none" w:sz="0" w:space="0" w:color="auto"/>
                <w:right w:val="none" w:sz="0" w:space="0" w:color="auto"/>
              </w:divBdr>
            </w:div>
            <w:div w:id="1428889171">
              <w:marLeft w:val="0"/>
              <w:marRight w:val="0"/>
              <w:marTop w:val="0"/>
              <w:marBottom w:val="0"/>
              <w:divBdr>
                <w:top w:val="none" w:sz="0" w:space="0" w:color="auto"/>
                <w:left w:val="none" w:sz="0" w:space="0" w:color="auto"/>
                <w:bottom w:val="none" w:sz="0" w:space="0" w:color="auto"/>
                <w:right w:val="none" w:sz="0" w:space="0" w:color="auto"/>
              </w:divBdr>
            </w:div>
          </w:divsChild>
        </w:div>
        <w:div w:id="1576087660">
          <w:marLeft w:val="0"/>
          <w:marRight w:val="0"/>
          <w:marTop w:val="0"/>
          <w:marBottom w:val="0"/>
          <w:divBdr>
            <w:top w:val="none" w:sz="0" w:space="0" w:color="auto"/>
            <w:left w:val="none" w:sz="0" w:space="0" w:color="auto"/>
            <w:bottom w:val="none" w:sz="0" w:space="0" w:color="auto"/>
            <w:right w:val="none" w:sz="0" w:space="0" w:color="auto"/>
          </w:divBdr>
          <w:divsChild>
            <w:div w:id="768622952">
              <w:marLeft w:val="0"/>
              <w:marRight w:val="0"/>
              <w:marTop w:val="0"/>
              <w:marBottom w:val="0"/>
              <w:divBdr>
                <w:top w:val="none" w:sz="0" w:space="0" w:color="auto"/>
                <w:left w:val="none" w:sz="0" w:space="0" w:color="auto"/>
                <w:bottom w:val="none" w:sz="0" w:space="0" w:color="auto"/>
                <w:right w:val="none" w:sz="0" w:space="0" w:color="auto"/>
              </w:divBdr>
            </w:div>
            <w:div w:id="529758232">
              <w:marLeft w:val="0"/>
              <w:marRight w:val="0"/>
              <w:marTop w:val="0"/>
              <w:marBottom w:val="0"/>
              <w:divBdr>
                <w:top w:val="none" w:sz="0" w:space="0" w:color="auto"/>
                <w:left w:val="none" w:sz="0" w:space="0" w:color="auto"/>
                <w:bottom w:val="none" w:sz="0" w:space="0" w:color="auto"/>
                <w:right w:val="none" w:sz="0" w:space="0" w:color="auto"/>
              </w:divBdr>
            </w:div>
          </w:divsChild>
        </w:div>
        <w:div w:id="974676186">
          <w:marLeft w:val="0"/>
          <w:marRight w:val="0"/>
          <w:marTop w:val="0"/>
          <w:marBottom w:val="0"/>
          <w:divBdr>
            <w:top w:val="none" w:sz="0" w:space="0" w:color="auto"/>
            <w:left w:val="none" w:sz="0" w:space="0" w:color="auto"/>
            <w:bottom w:val="none" w:sz="0" w:space="0" w:color="auto"/>
            <w:right w:val="none" w:sz="0" w:space="0" w:color="auto"/>
          </w:divBdr>
          <w:divsChild>
            <w:div w:id="1091392058">
              <w:marLeft w:val="0"/>
              <w:marRight w:val="0"/>
              <w:marTop w:val="0"/>
              <w:marBottom w:val="0"/>
              <w:divBdr>
                <w:top w:val="none" w:sz="0" w:space="0" w:color="auto"/>
                <w:left w:val="none" w:sz="0" w:space="0" w:color="auto"/>
                <w:bottom w:val="none" w:sz="0" w:space="0" w:color="auto"/>
                <w:right w:val="none" w:sz="0" w:space="0" w:color="auto"/>
              </w:divBdr>
            </w:div>
            <w:div w:id="717969249">
              <w:marLeft w:val="0"/>
              <w:marRight w:val="0"/>
              <w:marTop w:val="0"/>
              <w:marBottom w:val="0"/>
              <w:divBdr>
                <w:top w:val="none" w:sz="0" w:space="0" w:color="auto"/>
                <w:left w:val="none" w:sz="0" w:space="0" w:color="auto"/>
                <w:bottom w:val="none" w:sz="0" w:space="0" w:color="auto"/>
                <w:right w:val="none" w:sz="0" w:space="0" w:color="auto"/>
              </w:divBdr>
            </w:div>
          </w:divsChild>
        </w:div>
        <w:div w:id="1023362195">
          <w:marLeft w:val="0"/>
          <w:marRight w:val="0"/>
          <w:marTop w:val="0"/>
          <w:marBottom w:val="0"/>
          <w:divBdr>
            <w:top w:val="none" w:sz="0" w:space="0" w:color="auto"/>
            <w:left w:val="none" w:sz="0" w:space="0" w:color="auto"/>
            <w:bottom w:val="none" w:sz="0" w:space="0" w:color="auto"/>
            <w:right w:val="none" w:sz="0" w:space="0" w:color="auto"/>
          </w:divBdr>
        </w:div>
        <w:div w:id="980767102">
          <w:marLeft w:val="0"/>
          <w:marRight w:val="0"/>
          <w:marTop w:val="0"/>
          <w:marBottom w:val="0"/>
          <w:divBdr>
            <w:top w:val="none" w:sz="0" w:space="0" w:color="auto"/>
            <w:left w:val="none" w:sz="0" w:space="0" w:color="auto"/>
            <w:bottom w:val="none" w:sz="0" w:space="0" w:color="auto"/>
            <w:right w:val="none" w:sz="0" w:space="0" w:color="auto"/>
          </w:divBdr>
          <w:divsChild>
            <w:div w:id="1477213306">
              <w:marLeft w:val="0"/>
              <w:marRight w:val="0"/>
              <w:marTop w:val="0"/>
              <w:marBottom w:val="0"/>
              <w:divBdr>
                <w:top w:val="none" w:sz="0" w:space="0" w:color="auto"/>
                <w:left w:val="none" w:sz="0" w:space="0" w:color="auto"/>
                <w:bottom w:val="none" w:sz="0" w:space="0" w:color="auto"/>
                <w:right w:val="none" w:sz="0" w:space="0" w:color="auto"/>
              </w:divBdr>
            </w:div>
            <w:div w:id="2012636932">
              <w:marLeft w:val="0"/>
              <w:marRight w:val="0"/>
              <w:marTop w:val="0"/>
              <w:marBottom w:val="0"/>
              <w:divBdr>
                <w:top w:val="none" w:sz="0" w:space="0" w:color="auto"/>
                <w:left w:val="none" w:sz="0" w:space="0" w:color="auto"/>
                <w:bottom w:val="none" w:sz="0" w:space="0" w:color="auto"/>
                <w:right w:val="none" w:sz="0" w:space="0" w:color="auto"/>
              </w:divBdr>
            </w:div>
          </w:divsChild>
        </w:div>
        <w:div w:id="1926067544">
          <w:marLeft w:val="0"/>
          <w:marRight w:val="0"/>
          <w:marTop w:val="0"/>
          <w:marBottom w:val="0"/>
          <w:divBdr>
            <w:top w:val="none" w:sz="0" w:space="0" w:color="auto"/>
            <w:left w:val="none" w:sz="0" w:space="0" w:color="auto"/>
            <w:bottom w:val="none" w:sz="0" w:space="0" w:color="auto"/>
            <w:right w:val="none" w:sz="0" w:space="0" w:color="auto"/>
          </w:divBdr>
          <w:divsChild>
            <w:div w:id="2089573990">
              <w:marLeft w:val="0"/>
              <w:marRight w:val="0"/>
              <w:marTop w:val="0"/>
              <w:marBottom w:val="0"/>
              <w:divBdr>
                <w:top w:val="none" w:sz="0" w:space="0" w:color="auto"/>
                <w:left w:val="none" w:sz="0" w:space="0" w:color="auto"/>
                <w:bottom w:val="none" w:sz="0" w:space="0" w:color="auto"/>
                <w:right w:val="none" w:sz="0" w:space="0" w:color="auto"/>
              </w:divBdr>
            </w:div>
            <w:div w:id="456488301">
              <w:marLeft w:val="0"/>
              <w:marRight w:val="0"/>
              <w:marTop w:val="0"/>
              <w:marBottom w:val="0"/>
              <w:divBdr>
                <w:top w:val="none" w:sz="0" w:space="0" w:color="auto"/>
                <w:left w:val="none" w:sz="0" w:space="0" w:color="auto"/>
                <w:bottom w:val="none" w:sz="0" w:space="0" w:color="auto"/>
                <w:right w:val="none" w:sz="0" w:space="0" w:color="auto"/>
              </w:divBdr>
            </w:div>
          </w:divsChild>
        </w:div>
        <w:div w:id="1714961372">
          <w:marLeft w:val="0"/>
          <w:marRight w:val="0"/>
          <w:marTop w:val="0"/>
          <w:marBottom w:val="0"/>
          <w:divBdr>
            <w:top w:val="none" w:sz="0" w:space="0" w:color="auto"/>
            <w:left w:val="none" w:sz="0" w:space="0" w:color="auto"/>
            <w:bottom w:val="none" w:sz="0" w:space="0" w:color="auto"/>
            <w:right w:val="none" w:sz="0" w:space="0" w:color="auto"/>
          </w:divBdr>
        </w:div>
        <w:div w:id="1441947616">
          <w:marLeft w:val="0"/>
          <w:marRight w:val="0"/>
          <w:marTop w:val="0"/>
          <w:marBottom w:val="0"/>
          <w:divBdr>
            <w:top w:val="none" w:sz="0" w:space="0" w:color="auto"/>
            <w:left w:val="none" w:sz="0" w:space="0" w:color="auto"/>
            <w:bottom w:val="none" w:sz="0" w:space="0" w:color="auto"/>
            <w:right w:val="none" w:sz="0" w:space="0" w:color="auto"/>
          </w:divBdr>
          <w:divsChild>
            <w:div w:id="47337876">
              <w:marLeft w:val="0"/>
              <w:marRight w:val="0"/>
              <w:marTop w:val="0"/>
              <w:marBottom w:val="0"/>
              <w:divBdr>
                <w:top w:val="none" w:sz="0" w:space="0" w:color="auto"/>
                <w:left w:val="none" w:sz="0" w:space="0" w:color="auto"/>
                <w:bottom w:val="none" w:sz="0" w:space="0" w:color="auto"/>
                <w:right w:val="none" w:sz="0" w:space="0" w:color="auto"/>
              </w:divBdr>
            </w:div>
            <w:div w:id="745961699">
              <w:marLeft w:val="0"/>
              <w:marRight w:val="0"/>
              <w:marTop w:val="0"/>
              <w:marBottom w:val="0"/>
              <w:divBdr>
                <w:top w:val="none" w:sz="0" w:space="0" w:color="auto"/>
                <w:left w:val="none" w:sz="0" w:space="0" w:color="auto"/>
                <w:bottom w:val="none" w:sz="0" w:space="0" w:color="auto"/>
                <w:right w:val="none" w:sz="0" w:space="0" w:color="auto"/>
              </w:divBdr>
            </w:div>
          </w:divsChild>
        </w:div>
        <w:div w:id="907612501">
          <w:marLeft w:val="0"/>
          <w:marRight w:val="0"/>
          <w:marTop w:val="0"/>
          <w:marBottom w:val="0"/>
          <w:divBdr>
            <w:top w:val="none" w:sz="0" w:space="0" w:color="auto"/>
            <w:left w:val="none" w:sz="0" w:space="0" w:color="auto"/>
            <w:bottom w:val="none" w:sz="0" w:space="0" w:color="auto"/>
            <w:right w:val="none" w:sz="0" w:space="0" w:color="auto"/>
          </w:divBdr>
        </w:div>
        <w:div w:id="1678967394">
          <w:marLeft w:val="0"/>
          <w:marRight w:val="0"/>
          <w:marTop w:val="0"/>
          <w:marBottom w:val="0"/>
          <w:divBdr>
            <w:top w:val="none" w:sz="0" w:space="0" w:color="auto"/>
            <w:left w:val="none" w:sz="0" w:space="0" w:color="auto"/>
            <w:bottom w:val="none" w:sz="0" w:space="0" w:color="auto"/>
            <w:right w:val="none" w:sz="0" w:space="0" w:color="auto"/>
          </w:divBdr>
          <w:divsChild>
            <w:div w:id="149716733">
              <w:marLeft w:val="0"/>
              <w:marRight w:val="0"/>
              <w:marTop w:val="0"/>
              <w:marBottom w:val="0"/>
              <w:divBdr>
                <w:top w:val="none" w:sz="0" w:space="0" w:color="auto"/>
                <w:left w:val="none" w:sz="0" w:space="0" w:color="auto"/>
                <w:bottom w:val="none" w:sz="0" w:space="0" w:color="auto"/>
                <w:right w:val="none" w:sz="0" w:space="0" w:color="auto"/>
              </w:divBdr>
            </w:div>
            <w:div w:id="1683436820">
              <w:marLeft w:val="0"/>
              <w:marRight w:val="0"/>
              <w:marTop w:val="0"/>
              <w:marBottom w:val="0"/>
              <w:divBdr>
                <w:top w:val="none" w:sz="0" w:space="0" w:color="auto"/>
                <w:left w:val="none" w:sz="0" w:space="0" w:color="auto"/>
                <w:bottom w:val="none" w:sz="0" w:space="0" w:color="auto"/>
                <w:right w:val="none" w:sz="0" w:space="0" w:color="auto"/>
              </w:divBdr>
            </w:div>
          </w:divsChild>
        </w:div>
        <w:div w:id="1651861554">
          <w:marLeft w:val="0"/>
          <w:marRight w:val="0"/>
          <w:marTop w:val="0"/>
          <w:marBottom w:val="0"/>
          <w:divBdr>
            <w:top w:val="none" w:sz="0" w:space="0" w:color="auto"/>
            <w:left w:val="none" w:sz="0" w:space="0" w:color="auto"/>
            <w:bottom w:val="none" w:sz="0" w:space="0" w:color="auto"/>
            <w:right w:val="none" w:sz="0" w:space="0" w:color="auto"/>
          </w:divBdr>
          <w:divsChild>
            <w:div w:id="31460183">
              <w:marLeft w:val="0"/>
              <w:marRight w:val="0"/>
              <w:marTop w:val="0"/>
              <w:marBottom w:val="0"/>
              <w:divBdr>
                <w:top w:val="none" w:sz="0" w:space="0" w:color="auto"/>
                <w:left w:val="none" w:sz="0" w:space="0" w:color="auto"/>
                <w:bottom w:val="none" w:sz="0" w:space="0" w:color="auto"/>
                <w:right w:val="none" w:sz="0" w:space="0" w:color="auto"/>
              </w:divBdr>
            </w:div>
            <w:div w:id="652559998">
              <w:marLeft w:val="0"/>
              <w:marRight w:val="0"/>
              <w:marTop w:val="0"/>
              <w:marBottom w:val="0"/>
              <w:divBdr>
                <w:top w:val="none" w:sz="0" w:space="0" w:color="auto"/>
                <w:left w:val="none" w:sz="0" w:space="0" w:color="auto"/>
                <w:bottom w:val="none" w:sz="0" w:space="0" w:color="auto"/>
                <w:right w:val="none" w:sz="0" w:space="0" w:color="auto"/>
              </w:divBdr>
            </w:div>
          </w:divsChild>
        </w:div>
        <w:div w:id="1728407522">
          <w:marLeft w:val="0"/>
          <w:marRight w:val="0"/>
          <w:marTop w:val="0"/>
          <w:marBottom w:val="0"/>
          <w:divBdr>
            <w:top w:val="none" w:sz="0" w:space="0" w:color="auto"/>
            <w:left w:val="none" w:sz="0" w:space="0" w:color="auto"/>
            <w:bottom w:val="none" w:sz="0" w:space="0" w:color="auto"/>
            <w:right w:val="none" w:sz="0" w:space="0" w:color="auto"/>
          </w:divBdr>
        </w:div>
        <w:div w:id="975334643">
          <w:marLeft w:val="0"/>
          <w:marRight w:val="0"/>
          <w:marTop w:val="0"/>
          <w:marBottom w:val="0"/>
          <w:divBdr>
            <w:top w:val="none" w:sz="0" w:space="0" w:color="auto"/>
            <w:left w:val="none" w:sz="0" w:space="0" w:color="auto"/>
            <w:bottom w:val="none" w:sz="0" w:space="0" w:color="auto"/>
            <w:right w:val="none" w:sz="0" w:space="0" w:color="auto"/>
          </w:divBdr>
          <w:divsChild>
            <w:div w:id="1923755642">
              <w:marLeft w:val="0"/>
              <w:marRight w:val="0"/>
              <w:marTop w:val="0"/>
              <w:marBottom w:val="0"/>
              <w:divBdr>
                <w:top w:val="none" w:sz="0" w:space="0" w:color="auto"/>
                <w:left w:val="none" w:sz="0" w:space="0" w:color="auto"/>
                <w:bottom w:val="none" w:sz="0" w:space="0" w:color="auto"/>
                <w:right w:val="none" w:sz="0" w:space="0" w:color="auto"/>
              </w:divBdr>
            </w:div>
            <w:div w:id="599799670">
              <w:marLeft w:val="0"/>
              <w:marRight w:val="0"/>
              <w:marTop w:val="0"/>
              <w:marBottom w:val="0"/>
              <w:divBdr>
                <w:top w:val="none" w:sz="0" w:space="0" w:color="auto"/>
                <w:left w:val="none" w:sz="0" w:space="0" w:color="auto"/>
                <w:bottom w:val="none" w:sz="0" w:space="0" w:color="auto"/>
                <w:right w:val="none" w:sz="0" w:space="0" w:color="auto"/>
              </w:divBdr>
            </w:div>
          </w:divsChild>
        </w:div>
        <w:div w:id="1182890778">
          <w:marLeft w:val="0"/>
          <w:marRight w:val="0"/>
          <w:marTop w:val="0"/>
          <w:marBottom w:val="0"/>
          <w:divBdr>
            <w:top w:val="none" w:sz="0" w:space="0" w:color="auto"/>
            <w:left w:val="none" w:sz="0" w:space="0" w:color="auto"/>
            <w:bottom w:val="none" w:sz="0" w:space="0" w:color="auto"/>
            <w:right w:val="none" w:sz="0" w:space="0" w:color="auto"/>
          </w:divBdr>
          <w:divsChild>
            <w:div w:id="1454178659">
              <w:marLeft w:val="0"/>
              <w:marRight w:val="0"/>
              <w:marTop w:val="0"/>
              <w:marBottom w:val="0"/>
              <w:divBdr>
                <w:top w:val="none" w:sz="0" w:space="0" w:color="auto"/>
                <w:left w:val="none" w:sz="0" w:space="0" w:color="auto"/>
                <w:bottom w:val="none" w:sz="0" w:space="0" w:color="auto"/>
                <w:right w:val="none" w:sz="0" w:space="0" w:color="auto"/>
              </w:divBdr>
            </w:div>
            <w:div w:id="904952349">
              <w:marLeft w:val="0"/>
              <w:marRight w:val="0"/>
              <w:marTop w:val="0"/>
              <w:marBottom w:val="0"/>
              <w:divBdr>
                <w:top w:val="none" w:sz="0" w:space="0" w:color="auto"/>
                <w:left w:val="none" w:sz="0" w:space="0" w:color="auto"/>
                <w:bottom w:val="none" w:sz="0" w:space="0" w:color="auto"/>
                <w:right w:val="none" w:sz="0" w:space="0" w:color="auto"/>
              </w:divBdr>
            </w:div>
          </w:divsChild>
        </w:div>
        <w:div w:id="1414933228">
          <w:marLeft w:val="0"/>
          <w:marRight w:val="0"/>
          <w:marTop w:val="0"/>
          <w:marBottom w:val="0"/>
          <w:divBdr>
            <w:top w:val="none" w:sz="0" w:space="0" w:color="auto"/>
            <w:left w:val="none" w:sz="0" w:space="0" w:color="auto"/>
            <w:bottom w:val="none" w:sz="0" w:space="0" w:color="auto"/>
            <w:right w:val="none" w:sz="0" w:space="0" w:color="auto"/>
          </w:divBdr>
          <w:divsChild>
            <w:div w:id="1080643426">
              <w:marLeft w:val="0"/>
              <w:marRight w:val="0"/>
              <w:marTop w:val="0"/>
              <w:marBottom w:val="0"/>
              <w:divBdr>
                <w:top w:val="none" w:sz="0" w:space="0" w:color="auto"/>
                <w:left w:val="none" w:sz="0" w:space="0" w:color="auto"/>
                <w:bottom w:val="none" w:sz="0" w:space="0" w:color="auto"/>
                <w:right w:val="none" w:sz="0" w:space="0" w:color="auto"/>
              </w:divBdr>
            </w:div>
            <w:div w:id="218169933">
              <w:marLeft w:val="0"/>
              <w:marRight w:val="0"/>
              <w:marTop w:val="0"/>
              <w:marBottom w:val="0"/>
              <w:divBdr>
                <w:top w:val="none" w:sz="0" w:space="0" w:color="auto"/>
                <w:left w:val="none" w:sz="0" w:space="0" w:color="auto"/>
                <w:bottom w:val="none" w:sz="0" w:space="0" w:color="auto"/>
                <w:right w:val="none" w:sz="0" w:space="0" w:color="auto"/>
              </w:divBdr>
            </w:div>
          </w:divsChild>
        </w:div>
        <w:div w:id="653608726">
          <w:marLeft w:val="0"/>
          <w:marRight w:val="0"/>
          <w:marTop w:val="0"/>
          <w:marBottom w:val="0"/>
          <w:divBdr>
            <w:top w:val="none" w:sz="0" w:space="0" w:color="auto"/>
            <w:left w:val="none" w:sz="0" w:space="0" w:color="auto"/>
            <w:bottom w:val="none" w:sz="0" w:space="0" w:color="auto"/>
            <w:right w:val="none" w:sz="0" w:space="0" w:color="auto"/>
          </w:divBdr>
        </w:div>
        <w:div w:id="992180272">
          <w:marLeft w:val="0"/>
          <w:marRight w:val="0"/>
          <w:marTop w:val="0"/>
          <w:marBottom w:val="0"/>
          <w:divBdr>
            <w:top w:val="none" w:sz="0" w:space="0" w:color="auto"/>
            <w:left w:val="none" w:sz="0" w:space="0" w:color="auto"/>
            <w:bottom w:val="none" w:sz="0" w:space="0" w:color="auto"/>
            <w:right w:val="none" w:sz="0" w:space="0" w:color="auto"/>
          </w:divBdr>
          <w:divsChild>
            <w:div w:id="684483952">
              <w:marLeft w:val="0"/>
              <w:marRight w:val="0"/>
              <w:marTop w:val="0"/>
              <w:marBottom w:val="0"/>
              <w:divBdr>
                <w:top w:val="none" w:sz="0" w:space="0" w:color="auto"/>
                <w:left w:val="none" w:sz="0" w:space="0" w:color="auto"/>
                <w:bottom w:val="none" w:sz="0" w:space="0" w:color="auto"/>
                <w:right w:val="none" w:sz="0" w:space="0" w:color="auto"/>
              </w:divBdr>
            </w:div>
            <w:div w:id="587153317">
              <w:marLeft w:val="0"/>
              <w:marRight w:val="0"/>
              <w:marTop w:val="0"/>
              <w:marBottom w:val="0"/>
              <w:divBdr>
                <w:top w:val="none" w:sz="0" w:space="0" w:color="auto"/>
                <w:left w:val="none" w:sz="0" w:space="0" w:color="auto"/>
                <w:bottom w:val="none" w:sz="0" w:space="0" w:color="auto"/>
                <w:right w:val="none" w:sz="0" w:space="0" w:color="auto"/>
              </w:divBdr>
            </w:div>
          </w:divsChild>
        </w:div>
        <w:div w:id="1720013653">
          <w:marLeft w:val="0"/>
          <w:marRight w:val="0"/>
          <w:marTop w:val="0"/>
          <w:marBottom w:val="0"/>
          <w:divBdr>
            <w:top w:val="none" w:sz="0" w:space="0" w:color="auto"/>
            <w:left w:val="none" w:sz="0" w:space="0" w:color="auto"/>
            <w:bottom w:val="none" w:sz="0" w:space="0" w:color="auto"/>
            <w:right w:val="none" w:sz="0" w:space="0" w:color="auto"/>
          </w:divBdr>
        </w:div>
        <w:div w:id="2128163096">
          <w:marLeft w:val="0"/>
          <w:marRight w:val="0"/>
          <w:marTop w:val="0"/>
          <w:marBottom w:val="0"/>
          <w:divBdr>
            <w:top w:val="none" w:sz="0" w:space="0" w:color="auto"/>
            <w:left w:val="none" w:sz="0" w:space="0" w:color="auto"/>
            <w:bottom w:val="none" w:sz="0" w:space="0" w:color="auto"/>
            <w:right w:val="none" w:sz="0" w:space="0" w:color="auto"/>
          </w:divBdr>
          <w:divsChild>
            <w:div w:id="77100806">
              <w:marLeft w:val="0"/>
              <w:marRight w:val="0"/>
              <w:marTop w:val="0"/>
              <w:marBottom w:val="0"/>
              <w:divBdr>
                <w:top w:val="none" w:sz="0" w:space="0" w:color="auto"/>
                <w:left w:val="none" w:sz="0" w:space="0" w:color="auto"/>
                <w:bottom w:val="none" w:sz="0" w:space="0" w:color="auto"/>
                <w:right w:val="none" w:sz="0" w:space="0" w:color="auto"/>
              </w:divBdr>
            </w:div>
            <w:div w:id="1217080860">
              <w:marLeft w:val="0"/>
              <w:marRight w:val="0"/>
              <w:marTop w:val="0"/>
              <w:marBottom w:val="0"/>
              <w:divBdr>
                <w:top w:val="none" w:sz="0" w:space="0" w:color="auto"/>
                <w:left w:val="none" w:sz="0" w:space="0" w:color="auto"/>
                <w:bottom w:val="none" w:sz="0" w:space="0" w:color="auto"/>
                <w:right w:val="none" w:sz="0" w:space="0" w:color="auto"/>
              </w:divBdr>
            </w:div>
          </w:divsChild>
        </w:div>
        <w:div w:id="1034111697">
          <w:marLeft w:val="0"/>
          <w:marRight w:val="0"/>
          <w:marTop w:val="0"/>
          <w:marBottom w:val="0"/>
          <w:divBdr>
            <w:top w:val="none" w:sz="0" w:space="0" w:color="auto"/>
            <w:left w:val="none" w:sz="0" w:space="0" w:color="auto"/>
            <w:bottom w:val="none" w:sz="0" w:space="0" w:color="auto"/>
            <w:right w:val="none" w:sz="0" w:space="0" w:color="auto"/>
          </w:divBdr>
          <w:divsChild>
            <w:div w:id="1818495903">
              <w:marLeft w:val="0"/>
              <w:marRight w:val="0"/>
              <w:marTop w:val="0"/>
              <w:marBottom w:val="0"/>
              <w:divBdr>
                <w:top w:val="none" w:sz="0" w:space="0" w:color="auto"/>
                <w:left w:val="none" w:sz="0" w:space="0" w:color="auto"/>
                <w:bottom w:val="none" w:sz="0" w:space="0" w:color="auto"/>
                <w:right w:val="none" w:sz="0" w:space="0" w:color="auto"/>
              </w:divBdr>
            </w:div>
            <w:div w:id="1424033263">
              <w:marLeft w:val="0"/>
              <w:marRight w:val="0"/>
              <w:marTop w:val="0"/>
              <w:marBottom w:val="0"/>
              <w:divBdr>
                <w:top w:val="none" w:sz="0" w:space="0" w:color="auto"/>
                <w:left w:val="none" w:sz="0" w:space="0" w:color="auto"/>
                <w:bottom w:val="none" w:sz="0" w:space="0" w:color="auto"/>
                <w:right w:val="none" w:sz="0" w:space="0" w:color="auto"/>
              </w:divBdr>
            </w:div>
          </w:divsChild>
        </w:div>
        <w:div w:id="1417751961">
          <w:marLeft w:val="0"/>
          <w:marRight w:val="0"/>
          <w:marTop w:val="0"/>
          <w:marBottom w:val="0"/>
          <w:divBdr>
            <w:top w:val="none" w:sz="0" w:space="0" w:color="auto"/>
            <w:left w:val="none" w:sz="0" w:space="0" w:color="auto"/>
            <w:bottom w:val="none" w:sz="0" w:space="0" w:color="auto"/>
            <w:right w:val="none" w:sz="0" w:space="0" w:color="auto"/>
          </w:divBdr>
        </w:div>
        <w:div w:id="50927122">
          <w:marLeft w:val="0"/>
          <w:marRight w:val="0"/>
          <w:marTop w:val="0"/>
          <w:marBottom w:val="0"/>
          <w:divBdr>
            <w:top w:val="none" w:sz="0" w:space="0" w:color="auto"/>
            <w:left w:val="none" w:sz="0" w:space="0" w:color="auto"/>
            <w:bottom w:val="none" w:sz="0" w:space="0" w:color="auto"/>
            <w:right w:val="none" w:sz="0" w:space="0" w:color="auto"/>
          </w:divBdr>
          <w:divsChild>
            <w:div w:id="1466966572">
              <w:marLeft w:val="0"/>
              <w:marRight w:val="0"/>
              <w:marTop w:val="0"/>
              <w:marBottom w:val="0"/>
              <w:divBdr>
                <w:top w:val="none" w:sz="0" w:space="0" w:color="auto"/>
                <w:left w:val="none" w:sz="0" w:space="0" w:color="auto"/>
                <w:bottom w:val="none" w:sz="0" w:space="0" w:color="auto"/>
                <w:right w:val="none" w:sz="0" w:space="0" w:color="auto"/>
              </w:divBdr>
            </w:div>
            <w:div w:id="2119325392">
              <w:marLeft w:val="0"/>
              <w:marRight w:val="0"/>
              <w:marTop w:val="0"/>
              <w:marBottom w:val="0"/>
              <w:divBdr>
                <w:top w:val="none" w:sz="0" w:space="0" w:color="auto"/>
                <w:left w:val="none" w:sz="0" w:space="0" w:color="auto"/>
                <w:bottom w:val="none" w:sz="0" w:space="0" w:color="auto"/>
                <w:right w:val="none" w:sz="0" w:space="0" w:color="auto"/>
              </w:divBdr>
            </w:div>
          </w:divsChild>
        </w:div>
        <w:div w:id="1755781582">
          <w:marLeft w:val="0"/>
          <w:marRight w:val="0"/>
          <w:marTop w:val="0"/>
          <w:marBottom w:val="0"/>
          <w:divBdr>
            <w:top w:val="none" w:sz="0" w:space="0" w:color="auto"/>
            <w:left w:val="none" w:sz="0" w:space="0" w:color="auto"/>
            <w:bottom w:val="none" w:sz="0" w:space="0" w:color="auto"/>
            <w:right w:val="none" w:sz="0" w:space="0" w:color="auto"/>
          </w:divBdr>
          <w:divsChild>
            <w:div w:id="902183191">
              <w:marLeft w:val="0"/>
              <w:marRight w:val="0"/>
              <w:marTop w:val="0"/>
              <w:marBottom w:val="0"/>
              <w:divBdr>
                <w:top w:val="none" w:sz="0" w:space="0" w:color="auto"/>
                <w:left w:val="none" w:sz="0" w:space="0" w:color="auto"/>
                <w:bottom w:val="none" w:sz="0" w:space="0" w:color="auto"/>
                <w:right w:val="none" w:sz="0" w:space="0" w:color="auto"/>
              </w:divBdr>
            </w:div>
            <w:div w:id="1067217634">
              <w:marLeft w:val="0"/>
              <w:marRight w:val="0"/>
              <w:marTop w:val="0"/>
              <w:marBottom w:val="0"/>
              <w:divBdr>
                <w:top w:val="none" w:sz="0" w:space="0" w:color="auto"/>
                <w:left w:val="none" w:sz="0" w:space="0" w:color="auto"/>
                <w:bottom w:val="none" w:sz="0" w:space="0" w:color="auto"/>
                <w:right w:val="none" w:sz="0" w:space="0" w:color="auto"/>
              </w:divBdr>
            </w:div>
          </w:divsChild>
        </w:div>
        <w:div w:id="71971372">
          <w:marLeft w:val="0"/>
          <w:marRight w:val="0"/>
          <w:marTop w:val="0"/>
          <w:marBottom w:val="0"/>
          <w:divBdr>
            <w:top w:val="none" w:sz="0" w:space="0" w:color="auto"/>
            <w:left w:val="none" w:sz="0" w:space="0" w:color="auto"/>
            <w:bottom w:val="none" w:sz="0" w:space="0" w:color="auto"/>
            <w:right w:val="none" w:sz="0" w:space="0" w:color="auto"/>
          </w:divBdr>
          <w:divsChild>
            <w:div w:id="7146968">
              <w:marLeft w:val="0"/>
              <w:marRight w:val="0"/>
              <w:marTop w:val="0"/>
              <w:marBottom w:val="0"/>
              <w:divBdr>
                <w:top w:val="none" w:sz="0" w:space="0" w:color="auto"/>
                <w:left w:val="none" w:sz="0" w:space="0" w:color="auto"/>
                <w:bottom w:val="none" w:sz="0" w:space="0" w:color="auto"/>
                <w:right w:val="none" w:sz="0" w:space="0" w:color="auto"/>
              </w:divBdr>
            </w:div>
            <w:div w:id="885526909">
              <w:marLeft w:val="0"/>
              <w:marRight w:val="0"/>
              <w:marTop w:val="0"/>
              <w:marBottom w:val="0"/>
              <w:divBdr>
                <w:top w:val="none" w:sz="0" w:space="0" w:color="auto"/>
                <w:left w:val="none" w:sz="0" w:space="0" w:color="auto"/>
                <w:bottom w:val="none" w:sz="0" w:space="0" w:color="auto"/>
                <w:right w:val="none" w:sz="0" w:space="0" w:color="auto"/>
              </w:divBdr>
            </w:div>
          </w:divsChild>
        </w:div>
        <w:div w:id="1457062094">
          <w:marLeft w:val="0"/>
          <w:marRight w:val="0"/>
          <w:marTop w:val="0"/>
          <w:marBottom w:val="0"/>
          <w:divBdr>
            <w:top w:val="none" w:sz="0" w:space="0" w:color="auto"/>
            <w:left w:val="none" w:sz="0" w:space="0" w:color="auto"/>
            <w:bottom w:val="none" w:sz="0" w:space="0" w:color="auto"/>
            <w:right w:val="none" w:sz="0" w:space="0" w:color="auto"/>
          </w:divBdr>
        </w:div>
        <w:div w:id="869999192">
          <w:marLeft w:val="0"/>
          <w:marRight w:val="0"/>
          <w:marTop w:val="0"/>
          <w:marBottom w:val="0"/>
          <w:divBdr>
            <w:top w:val="none" w:sz="0" w:space="0" w:color="auto"/>
            <w:left w:val="none" w:sz="0" w:space="0" w:color="auto"/>
            <w:bottom w:val="none" w:sz="0" w:space="0" w:color="auto"/>
            <w:right w:val="none" w:sz="0" w:space="0" w:color="auto"/>
          </w:divBdr>
          <w:divsChild>
            <w:div w:id="2016415445">
              <w:marLeft w:val="0"/>
              <w:marRight w:val="0"/>
              <w:marTop w:val="0"/>
              <w:marBottom w:val="0"/>
              <w:divBdr>
                <w:top w:val="none" w:sz="0" w:space="0" w:color="auto"/>
                <w:left w:val="none" w:sz="0" w:space="0" w:color="auto"/>
                <w:bottom w:val="none" w:sz="0" w:space="0" w:color="auto"/>
                <w:right w:val="none" w:sz="0" w:space="0" w:color="auto"/>
              </w:divBdr>
            </w:div>
            <w:div w:id="2071490537">
              <w:marLeft w:val="0"/>
              <w:marRight w:val="0"/>
              <w:marTop w:val="0"/>
              <w:marBottom w:val="0"/>
              <w:divBdr>
                <w:top w:val="none" w:sz="0" w:space="0" w:color="auto"/>
                <w:left w:val="none" w:sz="0" w:space="0" w:color="auto"/>
                <w:bottom w:val="none" w:sz="0" w:space="0" w:color="auto"/>
                <w:right w:val="none" w:sz="0" w:space="0" w:color="auto"/>
              </w:divBdr>
            </w:div>
            <w:div w:id="1912546538">
              <w:marLeft w:val="0"/>
              <w:marRight w:val="0"/>
              <w:marTop w:val="0"/>
              <w:marBottom w:val="0"/>
              <w:divBdr>
                <w:top w:val="none" w:sz="0" w:space="0" w:color="auto"/>
                <w:left w:val="none" w:sz="0" w:space="0" w:color="auto"/>
                <w:bottom w:val="none" w:sz="0" w:space="0" w:color="auto"/>
                <w:right w:val="none" w:sz="0" w:space="0" w:color="auto"/>
              </w:divBdr>
            </w:div>
          </w:divsChild>
        </w:div>
        <w:div w:id="796143901">
          <w:marLeft w:val="0"/>
          <w:marRight w:val="0"/>
          <w:marTop w:val="0"/>
          <w:marBottom w:val="0"/>
          <w:divBdr>
            <w:top w:val="none" w:sz="0" w:space="0" w:color="auto"/>
            <w:left w:val="none" w:sz="0" w:space="0" w:color="auto"/>
            <w:bottom w:val="none" w:sz="0" w:space="0" w:color="auto"/>
            <w:right w:val="none" w:sz="0" w:space="0" w:color="auto"/>
          </w:divBdr>
          <w:divsChild>
            <w:div w:id="633680894">
              <w:marLeft w:val="0"/>
              <w:marRight w:val="0"/>
              <w:marTop w:val="0"/>
              <w:marBottom w:val="0"/>
              <w:divBdr>
                <w:top w:val="none" w:sz="0" w:space="0" w:color="auto"/>
                <w:left w:val="none" w:sz="0" w:space="0" w:color="auto"/>
                <w:bottom w:val="none" w:sz="0" w:space="0" w:color="auto"/>
                <w:right w:val="none" w:sz="0" w:space="0" w:color="auto"/>
              </w:divBdr>
            </w:div>
          </w:divsChild>
        </w:div>
        <w:div w:id="2099515331">
          <w:marLeft w:val="0"/>
          <w:marRight w:val="0"/>
          <w:marTop w:val="0"/>
          <w:marBottom w:val="0"/>
          <w:divBdr>
            <w:top w:val="none" w:sz="0" w:space="0" w:color="auto"/>
            <w:left w:val="none" w:sz="0" w:space="0" w:color="auto"/>
            <w:bottom w:val="none" w:sz="0" w:space="0" w:color="auto"/>
            <w:right w:val="none" w:sz="0" w:space="0" w:color="auto"/>
          </w:divBdr>
          <w:divsChild>
            <w:div w:id="915092467">
              <w:marLeft w:val="0"/>
              <w:marRight w:val="0"/>
              <w:marTop w:val="0"/>
              <w:marBottom w:val="0"/>
              <w:divBdr>
                <w:top w:val="none" w:sz="0" w:space="0" w:color="auto"/>
                <w:left w:val="none" w:sz="0" w:space="0" w:color="auto"/>
                <w:bottom w:val="none" w:sz="0" w:space="0" w:color="auto"/>
                <w:right w:val="none" w:sz="0" w:space="0" w:color="auto"/>
              </w:divBdr>
            </w:div>
            <w:div w:id="315646296">
              <w:marLeft w:val="0"/>
              <w:marRight w:val="0"/>
              <w:marTop w:val="0"/>
              <w:marBottom w:val="0"/>
              <w:divBdr>
                <w:top w:val="none" w:sz="0" w:space="0" w:color="auto"/>
                <w:left w:val="none" w:sz="0" w:space="0" w:color="auto"/>
                <w:bottom w:val="none" w:sz="0" w:space="0" w:color="auto"/>
                <w:right w:val="none" w:sz="0" w:space="0" w:color="auto"/>
              </w:divBdr>
            </w:div>
            <w:div w:id="268321389">
              <w:marLeft w:val="0"/>
              <w:marRight w:val="0"/>
              <w:marTop w:val="0"/>
              <w:marBottom w:val="0"/>
              <w:divBdr>
                <w:top w:val="none" w:sz="0" w:space="0" w:color="auto"/>
                <w:left w:val="none" w:sz="0" w:space="0" w:color="auto"/>
                <w:bottom w:val="none" w:sz="0" w:space="0" w:color="auto"/>
                <w:right w:val="none" w:sz="0" w:space="0" w:color="auto"/>
              </w:divBdr>
            </w:div>
          </w:divsChild>
        </w:div>
        <w:div w:id="1007054620">
          <w:marLeft w:val="0"/>
          <w:marRight w:val="0"/>
          <w:marTop w:val="0"/>
          <w:marBottom w:val="0"/>
          <w:divBdr>
            <w:top w:val="none" w:sz="0" w:space="0" w:color="auto"/>
            <w:left w:val="none" w:sz="0" w:space="0" w:color="auto"/>
            <w:bottom w:val="none" w:sz="0" w:space="0" w:color="auto"/>
            <w:right w:val="none" w:sz="0" w:space="0" w:color="auto"/>
          </w:divBdr>
          <w:divsChild>
            <w:div w:id="1197621431">
              <w:marLeft w:val="0"/>
              <w:marRight w:val="0"/>
              <w:marTop w:val="0"/>
              <w:marBottom w:val="0"/>
              <w:divBdr>
                <w:top w:val="none" w:sz="0" w:space="0" w:color="auto"/>
                <w:left w:val="none" w:sz="0" w:space="0" w:color="auto"/>
                <w:bottom w:val="none" w:sz="0" w:space="0" w:color="auto"/>
                <w:right w:val="none" w:sz="0" w:space="0" w:color="auto"/>
              </w:divBdr>
            </w:div>
          </w:divsChild>
        </w:div>
        <w:div w:id="1293440294">
          <w:marLeft w:val="0"/>
          <w:marRight w:val="0"/>
          <w:marTop w:val="0"/>
          <w:marBottom w:val="0"/>
          <w:divBdr>
            <w:top w:val="none" w:sz="0" w:space="0" w:color="auto"/>
            <w:left w:val="none" w:sz="0" w:space="0" w:color="auto"/>
            <w:bottom w:val="none" w:sz="0" w:space="0" w:color="auto"/>
            <w:right w:val="none" w:sz="0" w:space="0" w:color="auto"/>
          </w:divBdr>
          <w:divsChild>
            <w:div w:id="618339407">
              <w:marLeft w:val="0"/>
              <w:marRight w:val="0"/>
              <w:marTop w:val="0"/>
              <w:marBottom w:val="0"/>
              <w:divBdr>
                <w:top w:val="none" w:sz="0" w:space="0" w:color="auto"/>
                <w:left w:val="none" w:sz="0" w:space="0" w:color="auto"/>
                <w:bottom w:val="none" w:sz="0" w:space="0" w:color="auto"/>
                <w:right w:val="none" w:sz="0" w:space="0" w:color="auto"/>
              </w:divBdr>
            </w:div>
            <w:div w:id="72163752">
              <w:marLeft w:val="0"/>
              <w:marRight w:val="0"/>
              <w:marTop w:val="0"/>
              <w:marBottom w:val="0"/>
              <w:divBdr>
                <w:top w:val="none" w:sz="0" w:space="0" w:color="auto"/>
                <w:left w:val="none" w:sz="0" w:space="0" w:color="auto"/>
                <w:bottom w:val="none" w:sz="0" w:space="0" w:color="auto"/>
                <w:right w:val="none" w:sz="0" w:space="0" w:color="auto"/>
              </w:divBdr>
            </w:div>
          </w:divsChild>
        </w:div>
        <w:div w:id="1190679678">
          <w:marLeft w:val="0"/>
          <w:marRight w:val="0"/>
          <w:marTop w:val="0"/>
          <w:marBottom w:val="0"/>
          <w:divBdr>
            <w:top w:val="none" w:sz="0" w:space="0" w:color="auto"/>
            <w:left w:val="none" w:sz="0" w:space="0" w:color="auto"/>
            <w:bottom w:val="none" w:sz="0" w:space="0" w:color="auto"/>
            <w:right w:val="none" w:sz="0" w:space="0" w:color="auto"/>
          </w:divBdr>
        </w:div>
        <w:div w:id="1059091196">
          <w:marLeft w:val="0"/>
          <w:marRight w:val="0"/>
          <w:marTop w:val="0"/>
          <w:marBottom w:val="0"/>
          <w:divBdr>
            <w:top w:val="none" w:sz="0" w:space="0" w:color="auto"/>
            <w:left w:val="none" w:sz="0" w:space="0" w:color="auto"/>
            <w:bottom w:val="none" w:sz="0" w:space="0" w:color="auto"/>
            <w:right w:val="none" w:sz="0" w:space="0" w:color="auto"/>
          </w:divBdr>
          <w:divsChild>
            <w:div w:id="215632024">
              <w:marLeft w:val="0"/>
              <w:marRight w:val="0"/>
              <w:marTop w:val="0"/>
              <w:marBottom w:val="0"/>
              <w:divBdr>
                <w:top w:val="none" w:sz="0" w:space="0" w:color="auto"/>
                <w:left w:val="none" w:sz="0" w:space="0" w:color="auto"/>
                <w:bottom w:val="none" w:sz="0" w:space="0" w:color="auto"/>
                <w:right w:val="none" w:sz="0" w:space="0" w:color="auto"/>
              </w:divBdr>
            </w:div>
            <w:div w:id="122769208">
              <w:marLeft w:val="0"/>
              <w:marRight w:val="0"/>
              <w:marTop w:val="0"/>
              <w:marBottom w:val="0"/>
              <w:divBdr>
                <w:top w:val="none" w:sz="0" w:space="0" w:color="auto"/>
                <w:left w:val="none" w:sz="0" w:space="0" w:color="auto"/>
                <w:bottom w:val="none" w:sz="0" w:space="0" w:color="auto"/>
                <w:right w:val="none" w:sz="0" w:space="0" w:color="auto"/>
              </w:divBdr>
            </w:div>
          </w:divsChild>
        </w:div>
        <w:div w:id="140587651">
          <w:marLeft w:val="0"/>
          <w:marRight w:val="0"/>
          <w:marTop w:val="0"/>
          <w:marBottom w:val="0"/>
          <w:divBdr>
            <w:top w:val="none" w:sz="0" w:space="0" w:color="auto"/>
            <w:left w:val="none" w:sz="0" w:space="0" w:color="auto"/>
            <w:bottom w:val="none" w:sz="0" w:space="0" w:color="auto"/>
            <w:right w:val="none" w:sz="0" w:space="0" w:color="auto"/>
          </w:divBdr>
          <w:divsChild>
            <w:div w:id="1610891508">
              <w:marLeft w:val="0"/>
              <w:marRight w:val="0"/>
              <w:marTop w:val="0"/>
              <w:marBottom w:val="0"/>
              <w:divBdr>
                <w:top w:val="none" w:sz="0" w:space="0" w:color="auto"/>
                <w:left w:val="none" w:sz="0" w:space="0" w:color="auto"/>
                <w:bottom w:val="none" w:sz="0" w:space="0" w:color="auto"/>
                <w:right w:val="none" w:sz="0" w:space="0" w:color="auto"/>
              </w:divBdr>
            </w:div>
            <w:div w:id="1740247882">
              <w:marLeft w:val="0"/>
              <w:marRight w:val="0"/>
              <w:marTop w:val="0"/>
              <w:marBottom w:val="0"/>
              <w:divBdr>
                <w:top w:val="none" w:sz="0" w:space="0" w:color="auto"/>
                <w:left w:val="none" w:sz="0" w:space="0" w:color="auto"/>
                <w:bottom w:val="none" w:sz="0" w:space="0" w:color="auto"/>
                <w:right w:val="none" w:sz="0" w:space="0" w:color="auto"/>
              </w:divBdr>
            </w:div>
          </w:divsChild>
        </w:div>
        <w:div w:id="391392999">
          <w:marLeft w:val="0"/>
          <w:marRight w:val="0"/>
          <w:marTop w:val="0"/>
          <w:marBottom w:val="0"/>
          <w:divBdr>
            <w:top w:val="none" w:sz="0" w:space="0" w:color="auto"/>
            <w:left w:val="none" w:sz="0" w:space="0" w:color="auto"/>
            <w:bottom w:val="none" w:sz="0" w:space="0" w:color="auto"/>
            <w:right w:val="none" w:sz="0" w:space="0" w:color="auto"/>
          </w:divBdr>
          <w:divsChild>
            <w:div w:id="1423574442">
              <w:marLeft w:val="0"/>
              <w:marRight w:val="0"/>
              <w:marTop w:val="0"/>
              <w:marBottom w:val="0"/>
              <w:divBdr>
                <w:top w:val="none" w:sz="0" w:space="0" w:color="auto"/>
                <w:left w:val="none" w:sz="0" w:space="0" w:color="auto"/>
                <w:bottom w:val="none" w:sz="0" w:space="0" w:color="auto"/>
                <w:right w:val="none" w:sz="0" w:space="0" w:color="auto"/>
              </w:divBdr>
            </w:div>
            <w:div w:id="1545370069">
              <w:marLeft w:val="0"/>
              <w:marRight w:val="0"/>
              <w:marTop w:val="0"/>
              <w:marBottom w:val="0"/>
              <w:divBdr>
                <w:top w:val="none" w:sz="0" w:space="0" w:color="auto"/>
                <w:left w:val="none" w:sz="0" w:space="0" w:color="auto"/>
                <w:bottom w:val="none" w:sz="0" w:space="0" w:color="auto"/>
                <w:right w:val="none" w:sz="0" w:space="0" w:color="auto"/>
              </w:divBdr>
            </w:div>
          </w:divsChild>
        </w:div>
        <w:div w:id="244386841">
          <w:marLeft w:val="0"/>
          <w:marRight w:val="0"/>
          <w:marTop w:val="0"/>
          <w:marBottom w:val="0"/>
          <w:divBdr>
            <w:top w:val="none" w:sz="0" w:space="0" w:color="auto"/>
            <w:left w:val="none" w:sz="0" w:space="0" w:color="auto"/>
            <w:bottom w:val="none" w:sz="0" w:space="0" w:color="auto"/>
            <w:right w:val="none" w:sz="0" w:space="0" w:color="auto"/>
          </w:divBdr>
          <w:divsChild>
            <w:div w:id="1948586662">
              <w:marLeft w:val="0"/>
              <w:marRight w:val="0"/>
              <w:marTop w:val="0"/>
              <w:marBottom w:val="0"/>
              <w:divBdr>
                <w:top w:val="none" w:sz="0" w:space="0" w:color="auto"/>
                <w:left w:val="none" w:sz="0" w:space="0" w:color="auto"/>
                <w:bottom w:val="none" w:sz="0" w:space="0" w:color="auto"/>
                <w:right w:val="none" w:sz="0" w:space="0" w:color="auto"/>
              </w:divBdr>
            </w:div>
            <w:div w:id="120540109">
              <w:marLeft w:val="0"/>
              <w:marRight w:val="0"/>
              <w:marTop w:val="0"/>
              <w:marBottom w:val="0"/>
              <w:divBdr>
                <w:top w:val="none" w:sz="0" w:space="0" w:color="auto"/>
                <w:left w:val="none" w:sz="0" w:space="0" w:color="auto"/>
                <w:bottom w:val="none" w:sz="0" w:space="0" w:color="auto"/>
                <w:right w:val="none" w:sz="0" w:space="0" w:color="auto"/>
              </w:divBdr>
            </w:div>
          </w:divsChild>
        </w:div>
        <w:div w:id="734935355">
          <w:marLeft w:val="0"/>
          <w:marRight w:val="0"/>
          <w:marTop w:val="0"/>
          <w:marBottom w:val="0"/>
          <w:divBdr>
            <w:top w:val="none" w:sz="0" w:space="0" w:color="auto"/>
            <w:left w:val="none" w:sz="0" w:space="0" w:color="auto"/>
            <w:bottom w:val="none" w:sz="0" w:space="0" w:color="auto"/>
            <w:right w:val="none" w:sz="0" w:space="0" w:color="auto"/>
          </w:divBdr>
          <w:divsChild>
            <w:div w:id="644162466">
              <w:marLeft w:val="0"/>
              <w:marRight w:val="0"/>
              <w:marTop w:val="0"/>
              <w:marBottom w:val="0"/>
              <w:divBdr>
                <w:top w:val="none" w:sz="0" w:space="0" w:color="auto"/>
                <w:left w:val="none" w:sz="0" w:space="0" w:color="auto"/>
                <w:bottom w:val="none" w:sz="0" w:space="0" w:color="auto"/>
                <w:right w:val="none" w:sz="0" w:space="0" w:color="auto"/>
              </w:divBdr>
            </w:div>
            <w:div w:id="2129624421">
              <w:marLeft w:val="0"/>
              <w:marRight w:val="0"/>
              <w:marTop w:val="0"/>
              <w:marBottom w:val="0"/>
              <w:divBdr>
                <w:top w:val="none" w:sz="0" w:space="0" w:color="auto"/>
                <w:left w:val="none" w:sz="0" w:space="0" w:color="auto"/>
                <w:bottom w:val="none" w:sz="0" w:space="0" w:color="auto"/>
                <w:right w:val="none" w:sz="0" w:space="0" w:color="auto"/>
              </w:divBdr>
            </w:div>
          </w:divsChild>
        </w:div>
        <w:div w:id="719091318">
          <w:marLeft w:val="0"/>
          <w:marRight w:val="0"/>
          <w:marTop w:val="0"/>
          <w:marBottom w:val="0"/>
          <w:divBdr>
            <w:top w:val="none" w:sz="0" w:space="0" w:color="auto"/>
            <w:left w:val="none" w:sz="0" w:space="0" w:color="auto"/>
            <w:bottom w:val="none" w:sz="0" w:space="0" w:color="auto"/>
            <w:right w:val="none" w:sz="0" w:space="0" w:color="auto"/>
          </w:divBdr>
          <w:divsChild>
            <w:div w:id="834950898">
              <w:marLeft w:val="0"/>
              <w:marRight w:val="0"/>
              <w:marTop w:val="0"/>
              <w:marBottom w:val="0"/>
              <w:divBdr>
                <w:top w:val="none" w:sz="0" w:space="0" w:color="auto"/>
                <w:left w:val="none" w:sz="0" w:space="0" w:color="auto"/>
                <w:bottom w:val="none" w:sz="0" w:space="0" w:color="auto"/>
                <w:right w:val="none" w:sz="0" w:space="0" w:color="auto"/>
              </w:divBdr>
            </w:div>
            <w:div w:id="622468739">
              <w:marLeft w:val="0"/>
              <w:marRight w:val="0"/>
              <w:marTop w:val="0"/>
              <w:marBottom w:val="0"/>
              <w:divBdr>
                <w:top w:val="none" w:sz="0" w:space="0" w:color="auto"/>
                <w:left w:val="none" w:sz="0" w:space="0" w:color="auto"/>
                <w:bottom w:val="none" w:sz="0" w:space="0" w:color="auto"/>
                <w:right w:val="none" w:sz="0" w:space="0" w:color="auto"/>
              </w:divBdr>
            </w:div>
          </w:divsChild>
        </w:div>
        <w:div w:id="1146170703">
          <w:marLeft w:val="0"/>
          <w:marRight w:val="0"/>
          <w:marTop w:val="0"/>
          <w:marBottom w:val="0"/>
          <w:divBdr>
            <w:top w:val="none" w:sz="0" w:space="0" w:color="auto"/>
            <w:left w:val="none" w:sz="0" w:space="0" w:color="auto"/>
            <w:bottom w:val="none" w:sz="0" w:space="0" w:color="auto"/>
            <w:right w:val="none" w:sz="0" w:space="0" w:color="auto"/>
          </w:divBdr>
          <w:divsChild>
            <w:div w:id="822237948">
              <w:marLeft w:val="0"/>
              <w:marRight w:val="0"/>
              <w:marTop w:val="0"/>
              <w:marBottom w:val="0"/>
              <w:divBdr>
                <w:top w:val="none" w:sz="0" w:space="0" w:color="auto"/>
                <w:left w:val="none" w:sz="0" w:space="0" w:color="auto"/>
                <w:bottom w:val="none" w:sz="0" w:space="0" w:color="auto"/>
                <w:right w:val="none" w:sz="0" w:space="0" w:color="auto"/>
              </w:divBdr>
            </w:div>
            <w:div w:id="199824037">
              <w:marLeft w:val="0"/>
              <w:marRight w:val="0"/>
              <w:marTop w:val="0"/>
              <w:marBottom w:val="0"/>
              <w:divBdr>
                <w:top w:val="none" w:sz="0" w:space="0" w:color="auto"/>
                <w:left w:val="none" w:sz="0" w:space="0" w:color="auto"/>
                <w:bottom w:val="none" w:sz="0" w:space="0" w:color="auto"/>
                <w:right w:val="none" w:sz="0" w:space="0" w:color="auto"/>
              </w:divBdr>
            </w:div>
          </w:divsChild>
        </w:div>
        <w:div w:id="356739479">
          <w:marLeft w:val="0"/>
          <w:marRight w:val="0"/>
          <w:marTop w:val="0"/>
          <w:marBottom w:val="0"/>
          <w:divBdr>
            <w:top w:val="none" w:sz="0" w:space="0" w:color="auto"/>
            <w:left w:val="none" w:sz="0" w:space="0" w:color="auto"/>
            <w:bottom w:val="none" w:sz="0" w:space="0" w:color="auto"/>
            <w:right w:val="none" w:sz="0" w:space="0" w:color="auto"/>
          </w:divBdr>
          <w:divsChild>
            <w:div w:id="1037197797">
              <w:marLeft w:val="0"/>
              <w:marRight w:val="0"/>
              <w:marTop w:val="0"/>
              <w:marBottom w:val="0"/>
              <w:divBdr>
                <w:top w:val="none" w:sz="0" w:space="0" w:color="auto"/>
                <w:left w:val="none" w:sz="0" w:space="0" w:color="auto"/>
                <w:bottom w:val="none" w:sz="0" w:space="0" w:color="auto"/>
                <w:right w:val="none" w:sz="0" w:space="0" w:color="auto"/>
              </w:divBdr>
            </w:div>
            <w:div w:id="1073351858">
              <w:marLeft w:val="0"/>
              <w:marRight w:val="0"/>
              <w:marTop w:val="0"/>
              <w:marBottom w:val="0"/>
              <w:divBdr>
                <w:top w:val="none" w:sz="0" w:space="0" w:color="auto"/>
                <w:left w:val="none" w:sz="0" w:space="0" w:color="auto"/>
                <w:bottom w:val="none" w:sz="0" w:space="0" w:color="auto"/>
                <w:right w:val="none" w:sz="0" w:space="0" w:color="auto"/>
              </w:divBdr>
            </w:div>
          </w:divsChild>
        </w:div>
        <w:div w:id="1082794977">
          <w:marLeft w:val="0"/>
          <w:marRight w:val="0"/>
          <w:marTop w:val="0"/>
          <w:marBottom w:val="0"/>
          <w:divBdr>
            <w:top w:val="none" w:sz="0" w:space="0" w:color="auto"/>
            <w:left w:val="none" w:sz="0" w:space="0" w:color="auto"/>
            <w:bottom w:val="none" w:sz="0" w:space="0" w:color="auto"/>
            <w:right w:val="none" w:sz="0" w:space="0" w:color="auto"/>
          </w:divBdr>
          <w:divsChild>
            <w:div w:id="1842546182">
              <w:marLeft w:val="0"/>
              <w:marRight w:val="0"/>
              <w:marTop w:val="0"/>
              <w:marBottom w:val="0"/>
              <w:divBdr>
                <w:top w:val="none" w:sz="0" w:space="0" w:color="auto"/>
                <w:left w:val="none" w:sz="0" w:space="0" w:color="auto"/>
                <w:bottom w:val="none" w:sz="0" w:space="0" w:color="auto"/>
                <w:right w:val="none" w:sz="0" w:space="0" w:color="auto"/>
              </w:divBdr>
            </w:div>
            <w:div w:id="349915760">
              <w:marLeft w:val="0"/>
              <w:marRight w:val="0"/>
              <w:marTop w:val="0"/>
              <w:marBottom w:val="0"/>
              <w:divBdr>
                <w:top w:val="none" w:sz="0" w:space="0" w:color="auto"/>
                <w:left w:val="none" w:sz="0" w:space="0" w:color="auto"/>
                <w:bottom w:val="none" w:sz="0" w:space="0" w:color="auto"/>
                <w:right w:val="none" w:sz="0" w:space="0" w:color="auto"/>
              </w:divBdr>
            </w:div>
            <w:div w:id="1087113015">
              <w:marLeft w:val="0"/>
              <w:marRight w:val="0"/>
              <w:marTop w:val="0"/>
              <w:marBottom w:val="0"/>
              <w:divBdr>
                <w:top w:val="none" w:sz="0" w:space="0" w:color="auto"/>
                <w:left w:val="none" w:sz="0" w:space="0" w:color="auto"/>
                <w:bottom w:val="none" w:sz="0" w:space="0" w:color="auto"/>
                <w:right w:val="none" w:sz="0" w:space="0" w:color="auto"/>
              </w:divBdr>
            </w:div>
          </w:divsChild>
        </w:div>
        <w:div w:id="325790477">
          <w:marLeft w:val="0"/>
          <w:marRight w:val="0"/>
          <w:marTop w:val="0"/>
          <w:marBottom w:val="0"/>
          <w:divBdr>
            <w:top w:val="none" w:sz="0" w:space="0" w:color="auto"/>
            <w:left w:val="none" w:sz="0" w:space="0" w:color="auto"/>
            <w:bottom w:val="none" w:sz="0" w:space="0" w:color="auto"/>
            <w:right w:val="none" w:sz="0" w:space="0" w:color="auto"/>
          </w:divBdr>
          <w:divsChild>
            <w:div w:id="38937476">
              <w:marLeft w:val="0"/>
              <w:marRight w:val="0"/>
              <w:marTop w:val="0"/>
              <w:marBottom w:val="0"/>
              <w:divBdr>
                <w:top w:val="none" w:sz="0" w:space="0" w:color="auto"/>
                <w:left w:val="none" w:sz="0" w:space="0" w:color="auto"/>
                <w:bottom w:val="none" w:sz="0" w:space="0" w:color="auto"/>
                <w:right w:val="none" w:sz="0" w:space="0" w:color="auto"/>
              </w:divBdr>
            </w:div>
            <w:div w:id="600720701">
              <w:marLeft w:val="0"/>
              <w:marRight w:val="0"/>
              <w:marTop w:val="0"/>
              <w:marBottom w:val="0"/>
              <w:divBdr>
                <w:top w:val="none" w:sz="0" w:space="0" w:color="auto"/>
                <w:left w:val="none" w:sz="0" w:space="0" w:color="auto"/>
                <w:bottom w:val="none" w:sz="0" w:space="0" w:color="auto"/>
                <w:right w:val="none" w:sz="0" w:space="0" w:color="auto"/>
              </w:divBdr>
            </w:div>
            <w:div w:id="1194347169">
              <w:marLeft w:val="0"/>
              <w:marRight w:val="0"/>
              <w:marTop w:val="0"/>
              <w:marBottom w:val="0"/>
              <w:divBdr>
                <w:top w:val="none" w:sz="0" w:space="0" w:color="auto"/>
                <w:left w:val="none" w:sz="0" w:space="0" w:color="auto"/>
                <w:bottom w:val="none" w:sz="0" w:space="0" w:color="auto"/>
                <w:right w:val="none" w:sz="0" w:space="0" w:color="auto"/>
              </w:divBdr>
            </w:div>
          </w:divsChild>
        </w:div>
        <w:div w:id="132061292">
          <w:marLeft w:val="0"/>
          <w:marRight w:val="0"/>
          <w:marTop w:val="0"/>
          <w:marBottom w:val="0"/>
          <w:divBdr>
            <w:top w:val="none" w:sz="0" w:space="0" w:color="auto"/>
            <w:left w:val="none" w:sz="0" w:space="0" w:color="auto"/>
            <w:bottom w:val="none" w:sz="0" w:space="0" w:color="auto"/>
            <w:right w:val="none" w:sz="0" w:space="0" w:color="auto"/>
          </w:divBdr>
          <w:divsChild>
            <w:div w:id="330451145">
              <w:marLeft w:val="0"/>
              <w:marRight w:val="0"/>
              <w:marTop w:val="0"/>
              <w:marBottom w:val="0"/>
              <w:divBdr>
                <w:top w:val="none" w:sz="0" w:space="0" w:color="auto"/>
                <w:left w:val="none" w:sz="0" w:space="0" w:color="auto"/>
                <w:bottom w:val="none" w:sz="0" w:space="0" w:color="auto"/>
                <w:right w:val="none" w:sz="0" w:space="0" w:color="auto"/>
              </w:divBdr>
            </w:div>
            <w:div w:id="1777166650">
              <w:marLeft w:val="0"/>
              <w:marRight w:val="0"/>
              <w:marTop w:val="0"/>
              <w:marBottom w:val="0"/>
              <w:divBdr>
                <w:top w:val="none" w:sz="0" w:space="0" w:color="auto"/>
                <w:left w:val="none" w:sz="0" w:space="0" w:color="auto"/>
                <w:bottom w:val="none" w:sz="0" w:space="0" w:color="auto"/>
                <w:right w:val="none" w:sz="0" w:space="0" w:color="auto"/>
              </w:divBdr>
            </w:div>
          </w:divsChild>
        </w:div>
        <w:div w:id="1838302666">
          <w:marLeft w:val="0"/>
          <w:marRight w:val="0"/>
          <w:marTop w:val="0"/>
          <w:marBottom w:val="0"/>
          <w:divBdr>
            <w:top w:val="none" w:sz="0" w:space="0" w:color="auto"/>
            <w:left w:val="none" w:sz="0" w:space="0" w:color="auto"/>
            <w:bottom w:val="none" w:sz="0" w:space="0" w:color="auto"/>
            <w:right w:val="none" w:sz="0" w:space="0" w:color="auto"/>
          </w:divBdr>
        </w:div>
        <w:div w:id="1892573179">
          <w:marLeft w:val="0"/>
          <w:marRight w:val="0"/>
          <w:marTop w:val="0"/>
          <w:marBottom w:val="0"/>
          <w:divBdr>
            <w:top w:val="none" w:sz="0" w:space="0" w:color="auto"/>
            <w:left w:val="none" w:sz="0" w:space="0" w:color="auto"/>
            <w:bottom w:val="none" w:sz="0" w:space="0" w:color="auto"/>
            <w:right w:val="none" w:sz="0" w:space="0" w:color="auto"/>
          </w:divBdr>
          <w:divsChild>
            <w:div w:id="77338298">
              <w:marLeft w:val="0"/>
              <w:marRight w:val="0"/>
              <w:marTop w:val="0"/>
              <w:marBottom w:val="0"/>
              <w:divBdr>
                <w:top w:val="none" w:sz="0" w:space="0" w:color="auto"/>
                <w:left w:val="none" w:sz="0" w:space="0" w:color="auto"/>
                <w:bottom w:val="none" w:sz="0" w:space="0" w:color="auto"/>
                <w:right w:val="none" w:sz="0" w:space="0" w:color="auto"/>
              </w:divBdr>
            </w:div>
            <w:div w:id="1828668727">
              <w:marLeft w:val="0"/>
              <w:marRight w:val="0"/>
              <w:marTop w:val="0"/>
              <w:marBottom w:val="0"/>
              <w:divBdr>
                <w:top w:val="none" w:sz="0" w:space="0" w:color="auto"/>
                <w:left w:val="none" w:sz="0" w:space="0" w:color="auto"/>
                <w:bottom w:val="none" w:sz="0" w:space="0" w:color="auto"/>
                <w:right w:val="none" w:sz="0" w:space="0" w:color="auto"/>
              </w:divBdr>
            </w:div>
          </w:divsChild>
        </w:div>
        <w:div w:id="1188909763">
          <w:marLeft w:val="0"/>
          <w:marRight w:val="0"/>
          <w:marTop w:val="0"/>
          <w:marBottom w:val="0"/>
          <w:divBdr>
            <w:top w:val="none" w:sz="0" w:space="0" w:color="auto"/>
            <w:left w:val="none" w:sz="0" w:space="0" w:color="auto"/>
            <w:bottom w:val="none" w:sz="0" w:space="0" w:color="auto"/>
            <w:right w:val="none" w:sz="0" w:space="0" w:color="auto"/>
          </w:divBdr>
        </w:div>
        <w:div w:id="169873640">
          <w:marLeft w:val="0"/>
          <w:marRight w:val="0"/>
          <w:marTop w:val="0"/>
          <w:marBottom w:val="0"/>
          <w:divBdr>
            <w:top w:val="none" w:sz="0" w:space="0" w:color="auto"/>
            <w:left w:val="none" w:sz="0" w:space="0" w:color="auto"/>
            <w:bottom w:val="none" w:sz="0" w:space="0" w:color="auto"/>
            <w:right w:val="none" w:sz="0" w:space="0" w:color="auto"/>
          </w:divBdr>
          <w:divsChild>
            <w:div w:id="418453931">
              <w:marLeft w:val="0"/>
              <w:marRight w:val="0"/>
              <w:marTop w:val="0"/>
              <w:marBottom w:val="0"/>
              <w:divBdr>
                <w:top w:val="none" w:sz="0" w:space="0" w:color="auto"/>
                <w:left w:val="none" w:sz="0" w:space="0" w:color="auto"/>
                <w:bottom w:val="none" w:sz="0" w:space="0" w:color="auto"/>
                <w:right w:val="none" w:sz="0" w:space="0" w:color="auto"/>
              </w:divBdr>
            </w:div>
            <w:div w:id="1249314378">
              <w:marLeft w:val="0"/>
              <w:marRight w:val="0"/>
              <w:marTop w:val="0"/>
              <w:marBottom w:val="0"/>
              <w:divBdr>
                <w:top w:val="none" w:sz="0" w:space="0" w:color="auto"/>
                <w:left w:val="none" w:sz="0" w:space="0" w:color="auto"/>
                <w:bottom w:val="none" w:sz="0" w:space="0" w:color="auto"/>
                <w:right w:val="none" w:sz="0" w:space="0" w:color="auto"/>
              </w:divBdr>
            </w:div>
            <w:div w:id="1578635315">
              <w:marLeft w:val="0"/>
              <w:marRight w:val="0"/>
              <w:marTop w:val="0"/>
              <w:marBottom w:val="0"/>
              <w:divBdr>
                <w:top w:val="none" w:sz="0" w:space="0" w:color="auto"/>
                <w:left w:val="none" w:sz="0" w:space="0" w:color="auto"/>
                <w:bottom w:val="none" w:sz="0" w:space="0" w:color="auto"/>
                <w:right w:val="none" w:sz="0" w:space="0" w:color="auto"/>
              </w:divBdr>
            </w:div>
          </w:divsChild>
        </w:div>
        <w:div w:id="2070378164">
          <w:marLeft w:val="0"/>
          <w:marRight w:val="0"/>
          <w:marTop w:val="0"/>
          <w:marBottom w:val="0"/>
          <w:divBdr>
            <w:top w:val="none" w:sz="0" w:space="0" w:color="auto"/>
            <w:left w:val="none" w:sz="0" w:space="0" w:color="auto"/>
            <w:bottom w:val="none" w:sz="0" w:space="0" w:color="auto"/>
            <w:right w:val="none" w:sz="0" w:space="0" w:color="auto"/>
          </w:divBdr>
          <w:divsChild>
            <w:div w:id="299919469">
              <w:marLeft w:val="0"/>
              <w:marRight w:val="0"/>
              <w:marTop w:val="0"/>
              <w:marBottom w:val="0"/>
              <w:divBdr>
                <w:top w:val="none" w:sz="0" w:space="0" w:color="auto"/>
                <w:left w:val="none" w:sz="0" w:space="0" w:color="auto"/>
                <w:bottom w:val="none" w:sz="0" w:space="0" w:color="auto"/>
                <w:right w:val="none" w:sz="0" w:space="0" w:color="auto"/>
              </w:divBdr>
            </w:div>
            <w:div w:id="898053637">
              <w:marLeft w:val="0"/>
              <w:marRight w:val="0"/>
              <w:marTop w:val="0"/>
              <w:marBottom w:val="0"/>
              <w:divBdr>
                <w:top w:val="none" w:sz="0" w:space="0" w:color="auto"/>
                <w:left w:val="none" w:sz="0" w:space="0" w:color="auto"/>
                <w:bottom w:val="none" w:sz="0" w:space="0" w:color="auto"/>
                <w:right w:val="none" w:sz="0" w:space="0" w:color="auto"/>
              </w:divBdr>
            </w:div>
            <w:div w:id="68046753">
              <w:marLeft w:val="0"/>
              <w:marRight w:val="0"/>
              <w:marTop w:val="0"/>
              <w:marBottom w:val="0"/>
              <w:divBdr>
                <w:top w:val="none" w:sz="0" w:space="0" w:color="auto"/>
                <w:left w:val="none" w:sz="0" w:space="0" w:color="auto"/>
                <w:bottom w:val="none" w:sz="0" w:space="0" w:color="auto"/>
                <w:right w:val="none" w:sz="0" w:space="0" w:color="auto"/>
              </w:divBdr>
            </w:div>
          </w:divsChild>
        </w:div>
        <w:div w:id="194200620">
          <w:marLeft w:val="0"/>
          <w:marRight w:val="0"/>
          <w:marTop w:val="0"/>
          <w:marBottom w:val="0"/>
          <w:divBdr>
            <w:top w:val="none" w:sz="0" w:space="0" w:color="auto"/>
            <w:left w:val="none" w:sz="0" w:space="0" w:color="auto"/>
            <w:bottom w:val="none" w:sz="0" w:space="0" w:color="auto"/>
            <w:right w:val="none" w:sz="0" w:space="0" w:color="auto"/>
          </w:divBdr>
        </w:div>
        <w:div w:id="952785300">
          <w:marLeft w:val="0"/>
          <w:marRight w:val="0"/>
          <w:marTop w:val="0"/>
          <w:marBottom w:val="0"/>
          <w:divBdr>
            <w:top w:val="none" w:sz="0" w:space="0" w:color="auto"/>
            <w:left w:val="none" w:sz="0" w:space="0" w:color="auto"/>
            <w:bottom w:val="none" w:sz="0" w:space="0" w:color="auto"/>
            <w:right w:val="none" w:sz="0" w:space="0" w:color="auto"/>
          </w:divBdr>
          <w:divsChild>
            <w:div w:id="1726834070">
              <w:marLeft w:val="0"/>
              <w:marRight w:val="0"/>
              <w:marTop w:val="0"/>
              <w:marBottom w:val="0"/>
              <w:divBdr>
                <w:top w:val="none" w:sz="0" w:space="0" w:color="auto"/>
                <w:left w:val="none" w:sz="0" w:space="0" w:color="auto"/>
                <w:bottom w:val="none" w:sz="0" w:space="0" w:color="auto"/>
                <w:right w:val="none" w:sz="0" w:space="0" w:color="auto"/>
              </w:divBdr>
            </w:div>
            <w:div w:id="1522351462">
              <w:marLeft w:val="0"/>
              <w:marRight w:val="0"/>
              <w:marTop w:val="0"/>
              <w:marBottom w:val="0"/>
              <w:divBdr>
                <w:top w:val="none" w:sz="0" w:space="0" w:color="auto"/>
                <w:left w:val="none" w:sz="0" w:space="0" w:color="auto"/>
                <w:bottom w:val="none" w:sz="0" w:space="0" w:color="auto"/>
                <w:right w:val="none" w:sz="0" w:space="0" w:color="auto"/>
              </w:divBdr>
            </w:div>
            <w:div w:id="63143136">
              <w:marLeft w:val="0"/>
              <w:marRight w:val="0"/>
              <w:marTop w:val="0"/>
              <w:marBottom w:val="0"/>
              <w:divBdr>
                <w:top w:val="none" w:sz="0" w:space="0" w:color="auto"/>
                <w:left w:val="none" w:sz="0" w:space="0" w:color="auto"/>
                <w:bottom w:val="none" w:sz="0" w:space="0" w:color="auto"/>
                <w:right w:val="none" w:sz="0" w:space="0" w:color="auto"/>
              </w:divBdr>
            </w:div>
          </w:divsChild>
        </w:div>
        <w:div w:id="486752389">
          <w:marLeft w:val="0"/>
          <w:marRight w:val="0"/>
          <w:marTop w:val="0"/>
          <w:marBottom w:val="0"/>
          <w:divBdr>
            <w:top w:val="none" w:sz="0" w:space="0" w:color="auto"/>
            <w:left w:val="none" w:sz="0" w:space="0" w:color="auto"/>
            <w:bottom w:val="none" w:sz="0" w:space="0" w:color="auto"/>
            <w:right w:val="none" w:sz="0" w:space="0" w:color="auto"/>
          </w:divBdr>
        </w:div>
        <w:div w:id="436407742">
          <w:marLeft w:val="0"/>
          <w:marRight w:val="0"/>
          <w:marTop w:val="0"/>
          <w:marBottom w:val="0"/>
          <w:divBdr>
            <w:top w:val="none" w:sz="0" w:space="0" w:color="auto"/>
            <w:left w:val="none" w:sz="0" w:space="0" w:color="auto"/>
            <w:bottom w:val="none" w:sz="0" w:space="0" w:color="auto"/>
            <w:right w:val="none" w:sz="0" w:space="0" w:color="auto"/>
          </w:divBdr>
          <w:divsChild>
            <w:div w:id="1508330823">
              <w:marLeft w:val="0"/>
              <w:marRight w:val="0"/>
              <w:marTop w:val="0"/>
              <w:marBottom w:val="0"/>
              <w:divBdr>
                <w:top w:val="none" w:sz="0" w:space="0" w:color="auto"/>
                <w:left w:val="none" w:sz="0" w:space="0" w:color="auto"/>
                <w:bottom w:val="none" w:sz="0" w:space="0" w:color="auto"/>
                <w:right w:val="none" w:sz="0" w:space="0" w:color="auto"/>
              </w:divBdr>
            </w:div>
            <w:div w:id="1259489210">
              <w:marLeft w:val="0"/>
              <w:marRight w:val="0"/>
              <w:marTop w:val="0"/>
              <w:marBottom w:val="0"/>
              <w:divBdr>
                <w:top w:val="none" w:sz="0" w:space="0" w:color="auto"/>
                <w:left w:val="none" w:sz="0" w:space="0" w:color="auto"/>
                <w:bottom w:val="none" w:sz="0" w:space="0" w:color="auto"/>
                <w:right w:val="none" w:sz="0" w:space="0" w:color="auto"/>
              </w:divBdr>
            </w:div>
            <w:div w:id="1314946845">
              <w:marLeft w:val="0"/>
              <w:marRight w:val="0"/>
              <w:marTop w:val="0"/>
              <w:marBottom w:val="0"/>
              <w:divBdr>
                <w:top w:val="none" w:sz="0" w:space="0" w:color="auto"/>
                <w:left w:val="none" w:sz="0" w:space="0" w:color="auto"/>
                <w:bottom w:val="none" w:sz="0" w:space="0" w:color="auto"/>
                <w:right w:val="none" w:sz="0" w:space="0" w:color="auto"/>
              </w:divBdr>
            </w:div>
          </w:divsChild>
        </w:div>
        <w:div w:id="1716731744">
          <w:marLeft w:val="0"/>
          <w:marRight w:val="0"/>
          <w:marTop w:val="0"/>
          <w:marBottom w:val="0"/>
          <w:divBdr>
            <w:top w:val="none" w:sz="0" w:space="0" w:color="auto"/>
            <w:left w:val="none" w:sz="0" w:space="0" w:color="auto"/>
            <w:bottom w:val="none" w:sz="0" w:space="0" w:color="auto"/>
            <w:right w:val="none" w:sz="0" w:space="0" w:color="auto"/>
          </w:divBdr>
          <w:divsChild>
            <w:div w:id="785002025">
              <w:marLeft w:val="0"/>
              <w:marRight w:val="0"/>
              <w:marTop w:val="0"/>
              <w:marBottom w:val="0"/>
              <w:divBdr>
                <w:top w:val="none" w:sz="0" w:space="0" w:color="auto"/>
                <w:left w:val="none" w:sz="0" w:space="0" w:color="auto"/>
                <w:bottom w:val="none" w:sz="0" w:space="0" w:color="auto"/>
                <w:right w:val="none" w:sz="0" w:space="0" w:color="auto"/>
              </w:divBdr>
            </w:div>
          </w:divsChild>
        </w:div>
        <w:div w:id="1038239890">
          <w:marLeft w:val="0"/>
          <w:marRight w:val="0"/>
          <w:marTop w:val="0"/>
          <w:marBottom w:val="0"/>
          <w:divBdr>
            <w:top w:val="none" w:sz="0" w:space="0" w:color="auto"/>
            <w:left w:val="none" w:sz="0" w:space="0" w:color="auto"/>
            <w:bottom w:val="none" w:sz="0" w:space="0" w:color="auto"/>
            <w:right w:val="none" w:sz="0" w:space="0" w:color="auto"/>
          </w:divBdr>
          <w:divsChild>
            <w:div w:id="1401364524">
              <w:marLeft w:val="0"/>
              <w:marRight w:val="0"/>
              <w:marTop w:val="0"/>
              <w:marBottom w:val="0"/>
              <w:divBdr>
                <w:top w:val="none" w:sz="0" w:space="0" w:color="auto"/>
                <w:left w:val="none" w:sz="0" w:space="0" w:color="auto"/>
                <w:bottom w:val="none" w:sz="0" w:space="0" w:color="auto"/>
                <w:right w:val="none" w:sz="0" w:space="0" w:color="auto"/>
              </w:divBdr>
            </w:div>
          </w:divsChild>
        </w:div>
        <w:div w:id="1049691497">
          <w:marLeft w:val="0"/>
          <w:marRight w:val="0"/>
          <w:marTop w:val="0"/>
          <w:marBottom w:val="0"/>
          <w:divBdr>
            <w:top w:val="none" w:sz="0" w:space="0" w:color="auto"/>
            <w:left w:val="none" w:sz="0" w:space="0" w:color="auto"/>
            <w:bottom w:val="none" w:sz="0" w:space="0" w:color="auto"/>
            <w:right w:val="none" w:sz="0" w:space="0" w:color="auto"/>
          </w:divBdr>
          <w:divsChild>
            <w:div w:id="701398583">
              <w:marLeft w:val="0"/>
              <w:marRight w:val="0"/>
              <w:marTop w:val="0"/>
              <w:marBottom w:val="0"/>
              <w:divBdr>
                <w:top w:val="none" w:sz="0" w:space="0" w:color="auto"/>
                <w:left w:val="none" w:sz="0" w:space="0" w:color="auto"/>
                <w:bottom w:val="none" w:sz="0" w:space="0" w:color="auto"/>
                <w:right w:val="none" w:sz="0" w:space="0" w:color="auto"/>
              </w:divBdr>
            </w:div>
          </w:divsChild>
        </w:div>
        <w:div w:id="209463651">
          <w:marLeft w:val="0"/>
          <w:marRight w:val="0"/>
          <w:marTop w:val="0"/>
          <w:marBottom w:val="0"/>
          <w:divBdr>
            <w:top w:val="none" w:sz="0" w:space="0" w:color="auto"/>
            <w:left w:val="none" w:sz="0" w:space="0" w:color="auto"/>
            <w:bottom w:val="none" w:sz="0" w:space="0" w:color="auto"/>
            <w:right w:val="none" w:sz="0" w:space="0" w:color="auto"/>
          </w:divBdr>
        </w:div>
        <w:div w:id="1956983197">
          <w:marLeft w:val="0"/>
          <w:marRight w:val="0"/>
          <w:marTop w:val="0"/>
          <w:marBottom w:val="0"/>
          <w:divBdr>
            <w:top w:val="none" w:sz="0" w:space="0" w:color="auto"/>
            <w:left w:val="none" w:sz="0" w:space="0" w:color="auto"/>
            <w:bottom w:val="none" w:sz="0" w:space="0" w:color="auto"/>
            <w:right w:val="none" w:sz="0" w:space="0" w:color="auto"/>
          </w:divBdr>
          <w:divsChild>
            <w:div w:id="1527257923">
              <w:marLeft w:val="0"/>
              <w:marRight w:val="0"/>
              <w:marTop w:val="0"/>
              <w:marBottom w:val="0"/>
              <w:divBdr>
                <w:top w:val="none" w:sz="0" w:space="0" w:color="auto"/>
                <w:left w:val="none" w:sz="0" w:space="0" w:color="auto"/>
                <w:bottom w:val="none" w:sz="0" w:space="0" w:color="auto"/>
                <w:right w:val="none" w:sz="0" w:space="0" w:color="auto"/>
              </w:divBdr>
            </w:div>
          </w:divsChild>
        </w:div>
        <w:div w:id="1385366867">
          <w:marLeft w:val="0"/>
          <w:marRight w:val="0"/>
          <w:marTop w:val="0"/>
          <w:marBottom w:val="0"/>
          <w:divBdr>
            <w:top w:val="none" w:sz="0" w:space="0" w:color="auto"/>
            <w:left w:val="none" w:sz="0" w:space="0" w:color="auto"/>
            <w:bottom w:val="none" w:sz="0" w:space="0" w:color="auto"/>
            <w:right w:val="none" w:sz="0" w:space="0" w:color="auto"/>
          </w:divBdr>
          <w:divsChild>
            <w:div w:id="1864129551">
              <w:marLeft w:val="0"/>
              <w:marRight w:val="0"/>
              <w:marTop w:val="0"/>
              <w:marBottom w:val="0"/>
              <w:divBdr>
                <w:top w:val="none" w:sz="0" w:space="0" w:color="auto"/>
                <w:left w:val="none" w:sz="0" w:space="0" w:color="auto"/>
                <w:bottom w:val="none" w:sz="0" w:space="0" w:color="auto"/>
                <w:right w:val="none" w:sz="0" w:space="0" w:color="auto"/>
              </w:divBdr>
            </w:div>
          </w:divsChild>
        </w:div>
        <w:div w:id="864490034">
          <w:marLeft w:val="0"/>
          <w:marRight w:val="0"/>
          <w:marTop w:val="0"/>
          <w:marBottom w:val="0"/>
          <w:divBdr>
            <w:top w:val="none" w:sz="0" w:space="0" w:color="auto"/>
            <w:left w:val="none" w:sz="0" w:space="0" w:color="auto"/>
            <w:bottom w:val="none" w:sz="0" w:space="0" w:color="auto"/>
            <w:right w:val="none" w:sz="0" w:space="0" w:color="auto"/>
          </w:divBdr>
          <w:divsChild>
            <w:div w:id="1509757090">
              <w:marLeft w:val="0"/>
              <w:marRight w:val="0"/>
              <w:marTop w:val="0"/>
              <w:marBottom w:val="0"/>
              <w:divBdr>
                <w:top w:val="none" w:sz="0" w:space="0" w:color="auto"/>
                <w:left w:val="none" w:sz="0" w:space="0" w:color="auto"/>
                <w:bottom w:val="none" w:sz="0" w:space="0" w:color="auto"/>
                <w:right w:val="none" w:sz="0" w:space="0" w:color="auto"/>
              </w:divBdr>
            </w:div>
          </w:divsChild>
        </w:div>
        <w:div w:id="1137914928">
          <w:marLeft w:val="0"/>
          <w:marRight w:val="0"/>
          <w:marTop w:val="0"/>
          <w:marBottom w:val="0"/>
          <w:divBdr>
            <w:top w:val="none" w:sz="0" w:space="0" w:color="auto"/>
            <w:left w:val="none" w:sz="0" w:space="0" w:color="auto"/>
            <w:bottom w:val="none" w:sz="0" w:space="0" w:color="auto"/>
            <w:right w:val="none" w:sz="0" w:space="0" w:color="auto"/>
          </w:divBdr>
          <w:divsChild>
            <w:div w:id="8226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n.com.na/" TargetMode="External"/><Relationship Id="rId3" Type="http://schemas.openxmlformats.org/officeDocument/2006/relationships/settings" Target="settings.xml"/><Relationship Id="rId7" Type="http://schemas.openxmlformats.org/officeDocument/2006/relationships/hyperlink" Target="http://www.bon.com.n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bon.com.na/Economic-information/Statistical-information/Balance-of-pay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4211</Words>
  <Characters>24008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Nainda, Abigail</dc:creator>
  <cp:keywords/>
  <dc:description/>
  <cp:lastModifiedBy>Nainda, Abigail</cp:lastModifiedBy>
  <cp:revision>4</cp:revision>
  <dcterms:created xsi:type="dcterms:W3CDTF">2017-07-26T14:18:00Z</dcterms:created>
  <dcterms:modified xsi:type="dcterms:W3CDTF">2017-08-22T15:21:00Z</dcterms:modified>
</cp:coreProperties>
</file>